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75" w:beforeAutospacing="0" w:after="75" w:afterAutospacing="0"/>
        <w:jc w:val="center"/>
      </w:pPr>
      <w:r>
        <w:rPr>
          <w:rStyle w:val="8"/>
          <w:rFonts w:hint="eastAsia" w:ascii="宋体" w:hAnsi="宋体" w:eastAsia="宋体" w:cs="宋体"/>
          <w:sz w:val="43"/>
          <w:szCs w:val="43"/>
        </w:rPr>
        <w:t>询价采购公告</w:t>
      </w:r>
    </w:p>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line="435" w:lineRule="atLeast"/>
        <w:ind w:left="0" w:leftChars="0" w:firstLine="0" w:firstLineChars="0"/>
        <w:rPr>
          <w:rFonts w:hint="eastAsia" w:ascii="宋体" w:hAnsi="宋体" w:eastAsia="宋体" w:cs="宋体"/>
          <w:color w:val="auto"/>
        </w:rPr>
      </w:pPr>
      <w:r>
        <w:rPr>
          <w:rFonts w:hint="eastAsia" w:ascii="宋体" w:hAnsi="宋体" w:eastAsia="宋体" w:cs="宋体"/>
          <w:lang w:eastAsia="zh-CN"/>
        </w:rPr>
        <w:t xml:space="preserve">    </w:t>
      </w:r>
      <w:r>
        <w:rPr>
          <w:rFonts w:hint="eastAsia" w:ascii="宋体" w:hAnsi="宋体" w:eastAsia="宋体" w:cs="宋体"/>
        </w:rPr>
        <w:t>宁德市中医院已根据政府采购相关法律法规，确定采用院内询价采购方式组织宁德市中医院</w:t>
      </w:r>
      <w:r>
        <w:rPr>
          <w:rFonts w:hint="eastAsia" w:ascii="宋体" w:hAnsi="宋体" w:eastAsia="宋体" w:cs="宋体"/>
          <w:color w:val="auto"/>
        </w:rPr>
        <w:t>两轮车健康码识别闸机、</w:t>
      </w:r>
      <w:r>
        <w:rPr>
          <w:rFonts w:hint="eastAsia" w:ascii="宋体" w:hAnsi="宋体" w:eastAsia="宋体" w:cs="宋体"/>
          <w:color w:val="auto"/>
          <w:shd w:val="clear" w:color="auto" w:fill="FFFFFF"/>
        </w:rPr>
        <w:t>内科楼及外科楼出入控制闸机</w:t>
      </w:r>
      <w:r>
        <w:rPr>
          <w:rFonts w:hint="eastAsia" w:ascii="宋体" w:hAnsi="宋体" w:eastAsia="宋体" w:cs="宋体"/>
          <w:color w:val="auto"/>
        </w:rPr>
        <w:t>采购项目，现欢迎国内合格的供应商前来参加。</w:t>
      </w:r>
    </w:p>
    <w:p>
      <w:pPr>
        <w:pStyle w:val="5"/>
        <w:widowControl/>
        <w:spacing w:before="75" w:beforeAutospacing="0" w:after="75" w:afterAutospacing="0" w:line="435" w:lineRule="atLeast"/>
        <w:ind w:left="0" w:leftChars="0" w:firstLine="0" w:firstLineChars="0"/>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lang w:eastAsia="zh-CN"/>
        </w:rPr>
        <w:t xml:space="preserve">    </w:t>
      </w:r>
      <w:r>
        <w:rPr>
          <w:rFonts w:hint="eastAsia" w:ascii="宋体" w:hAnsi="宋体" w:eastAsia="宋体" w:cs="宋体"/>
          <w:color w:val="auto"/>
          <w:shd w:val="clear" w:color="auto" w:fill="FFFFFF"/>
        </w:rPr>
        <w:t>一、项目名称</w:t>
      </w:r>
    </w:p>
    <w:p>
      <w:pPr>
        <w:pStyle w:val="5"/>
        <w:widowControl/>
        <w:spacing w:before="75" w:beforeAutospacing="0" w:after="75" w:afterAutospacing="0" w:line="435" w:lineRule="atLeast"/>
        <w:ind w:left="0" w:leftChars="0" w:firstLine="0" w:firstLineChars="0"/>
        <w:rPr>
          <w:rFonts w:ascii="宋体" w:hAnsi="宋体" w:eastAsia="宋体" w:cs="宋体"/>
          <w:color w:val="auto"/>
          <w:shd w:val="clear" w:color="auto" w:fill="FFFFFF"/>
        </w:rPr>
      </w:pPr>
      <w:r>
        <w:rPr>
          <w:rFonts w:hint="eastAsia" w:ascii="宋体" w:hAnsi="宋体" w:eastAsia="宋体" w:cs="宋体"/>
          <w:color w:val="auto"/>
          <w:shd w:val="clear" w:color="auto" w:fill="FFFFFF"/>
          <w:lang w:eastAsia="zh-CN"/>
        </w:rPr>
        <w:t xml:space="preserve">    </w:t>
      </w:r>
      <w:r>
        <w:rPr>
          <w:rFonts w:hint="eastAsia" w:ascii="宋体" w:hAnsi="宋体" w:eastAsia="宋体" w:cs="宋体"/>
          <w:color w:val="auto"/>
          <w:shd w:val="clear" w:color="auto" w:fill="FFFFFF"/>
        </w:rPr>
        <w:t>包1：宁德市中医院</w:t>
      </w:r>
      <w:r>
        <w:rPr>
          <w:rFonts w:hint="eastAsia" w:ascii="宋体" w:hAnsi="宋体" w:eastAsia="宋体" w:cs="宋体"/>
          <w:color w:val="auto"/>
        </w:rPr>
        <w:t>两轮车健康码识别闸机采购项目</w:t>
      </w:r>
      <w:r>
        <w:rPr>
          <w:rFonts w:hint="eastAsia" w:ascii="宋体" w:hAnsi="宋体" w:eastAsia="宋体" w:cs="宋体"/>
          <w:color w:val="auto"/>
          <w:shd w:val="clear" w:color="auto" w:fill="FFFFFF"/>
        </w:rPr>
        <w:t> </w:t>
      </w:r>
    </w:p>
    <w:p>
      <w:pPr>
        <w:pStyle w:val="5"/>
        <w:widowControl/>
        <w:spacing w:before="75" w:beforeAutospacing="0" w:after="75" w:afterAutospacing="0" w:line="435" w:lineRule="atLeast"/>
        <w:ind w:left="0" w:leftChars="0" w:firstLine="0" w:firstLineChars="0"/>
        <w:rPr>
          <w:rFonts w:ascii="宋体" w:hAnsi="宋体" w:eastAsia="宋体" w:cs="宋体"/>
          <w:color w:val="auto"/>
          <w:shd w:val="clear" w:color="auto" w:fill="FFFFFF"/>
        </w:rPr>
      </w:pPr>
      <w:r>
        <w:rPr>
          <w:rFonts w:hint="eastAsia" w:ascii="宋体" w:hAnsi="宋体" w:eastAsia="宋体" w:cs="宋体"/>
          <w:color w:val="auto"/>
          <w:shd w:val="clear" w:color="auto" w:fill="FFFFFF"/>
          <w:lang w:eastAsia="zh-CN"/>
        </w:rPr>
        <w:t xml:space="preserve">    </w:t>
      </w:r>
      <w:r>
        <w:rPr>
          <w:rFonts w:hint="eastAsia" w:ascii="宋体" w:hAnsi="宋体" w:eastAsia="宋体" w:cs="宋体"/>
          <w:color w:val="auto"/>
          <w:shd w:val="clear" w:color="auto" w:fill="FFFFFF"/>
        </w:rPr>
        <w:t>包2：宁德市中医院内科楼及外科楼出入控制闸机</w:t>
      </w:r>
      <w:r>
        <w:rPr>
          <w:rFonts w:hint="eastAsia" w:ascii="宋体" w:hAnsi="宋体" w:eastAsia="宋体" w:cs="宋体"/>
          <w:color w:val="auto"/>
        </w:rPr>
        <w:t>采购项目</w:t>
      </w:r>
      <w:r>
        <w:rPr>
          <w:rFonts w:hint="eastAsia" w:ascii="宋体" w:hAnsi="宋体" w:eastAsia="宋体" w:cs="宋体"/>
          <w:color w:val="auto"/>
          <w:shd w:val="clear" w:color="auto" w:fill="FFFFFF"/>
        </w:rPr>
        <w:t> </w:t>
      </w:r>
    </w:p>
    <w:p>
      <w:pPr>
        <w:pStyle w:val="5"/>
        <w:widowControl/>
        <w:spacing w:before="75" w:beforeAutospacing="0" w:after="75" w:afterAutospacing="0" w:line="435" w:lineRule="atLeast"/>
        <w:ind w:firstLine="480" w:firstLineChars="200"/>
        <w:rPr>
          <w:rFonts w:hint="eastAsia"/>
          <w:color w:val="auto"/>
        </w:rPr>
      </w:pPr>
      <w:r>
        <w:rPr>
          <w:rFonts w:hint="eastAsia" w:ascii="宋体" w:hAnsi="宋体" w:eastAsia="宋体" w:cs="宋体"/>
          <w:color w:val="auto"/>
        </w:rPr>
        <w:t>二、采购内容及要求：</w:t>
      </w:r>
    </w:p>
    <w:p>
      <w:pPr>
        <w:pStyle w:val="5"/>
        <w:widowControl/>
        <w:spacing w:before="75" w:beforeAutospacing="0" w:after="75" w:afterAutospacing="0" w:line="435" w:lineRule="atLeast"/>
        <w:ind w:left="0" w:leftChars="0" w:firstLine="0" w:firstLineChars="0"/>
        <w:rPr>
          <w:rFonts w:hint="eastAsia"/>
        </w:rPr>
      </w:pPr>
      <w:r>
        <w:rPr>
          <w:rFonts w:hint="eastAsia"/>
          <w:lang w:eastAsia="zh-CN"/>
        </w:rPr>
        <w:t xml:space="preserve">    </w:t>
      </w:r>
      <w:r>
        <w:rPr>
          <w:rFonts w:hint="eastAsia"/>
        </w:rPr>
        <w:t>1</w:t>
      </w:r>
      <w:r>
        <w:rPr>
          <w:rFonts w:hint="eastAsia"/>
          <w:lang w:eastAsia="zh-CN"/>
        </w:rPr>
        <w:t>.</w:t>
      </w:r>
      <w:r>
        <w:rPr>
          <w:rFonts w:hint="eastAsia"/>
        </w:rPr>
        <w:t>采购预算</w:t>
      </w:r>
    </w:p>
    <w:p>
      <w:pPr>
        <w:pStyle w:val="5"/>
        <w:widowControl/>
        <w:jc w:val="right"/>
      </w:pPr>
      <w:r>
        <w:rPr>
          <w:rFonts w:hint="eastAsia" w:ascii="宋体" w:hAnsi="宋体" w:eastAsia="宋体" w:cs="宋体"/>
        </w:rPr>
        <w:t>金额单位：人民币元</w:t>
      </w:r>
    </w:p>
    <w:tbl>
      <w:tblPr>
        <w:tblStyle w:val="6"/>
        <w:tblW w:w="498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33"/>
        <w:gridCol w:w="938"/>
        <w:gridCol w:w="2354"/>
        <w:gridCol w:w="684"/>
        <w:gridCol w:w="1257"/>
        <w:gridCol w:w="863"/>
        <w:gridCol w:w="12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9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合同包</w:t>
            </w:r>
          </w:p>
        </w:tc>
        <w:tc>
          <w:tcPr>
            <w:tcW w:w="93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品目号</w:t>
            </w:r>
          </w:p>
        </w:tc>
        <w:tc>
          <w:tcPr>
            <w:tcW w:w="23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采购标的</w:t>
            </w:r>
          </w:p>
        </w:tc>
        <w:tc>
          <w:tcPr>
            <w:tcW w:w="68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数量</w:t>
            </w:r>
          </w:p>
        </w:tc>
        <w:tc>
          <w:tcPr>
            <w:tcW w:w="125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品目号预算</w:t>
            </w:r>
          </w:p>
        </w:tc>
        <w:tc>
          <w:tcPr>
            <w:tcW w:w="8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允许进口</w:t>
            </w:r>
          </w:p>
        </w:tc>
        <w:tc>
          <w:tcPr>
            <w:tcW w:w="127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合同包预算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9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1</w:t>
            </w:r>
          </w:p>
        </w:tc>
        <w:tc>
          <w:tcPr>
            <w:tcW w:w="6096"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6"/>
              <w:tblW w:w="4988"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
            <w:tblGrid>
              <w:gridCol w:w="907"/>
              <w:gridCol w:w="2374"/>
              <w:gridCol w:w="684"/>
              <w:gridCol w:w="1221"/>
              <w:gridCol w:w="864"/>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1-1</w:t>
                  </w:r>
                </w:p>
              </w:tc>
              <w:tc>
                <w:tcPr>
                  <w:tcW w:w="23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color w:val="000000" w:themeColor="text1"/>
                      <w:szCs w:val="21"/>
                      <w14:textFill>
                        <w14:solidFill>
                          <w14:schemeClr w14:val="tx1"/>
                        </w14:solidFill>
                      </w14:textFill>
                    </w:rPr>
                    <w:t>两轮车健康码识别闸机</w:t>
                  </w:r>
                </w:p>
              </w:tc>
              <w:tc>
                <w:tcPr>
                  <w:tcW w:w="68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w:t>
                  </w:r>
                  <w:r>
                    <w:rPr>
                      <w:rFonts w:hint="eastAsia" w:ascii="宋体" w:hAnsi="宋体" w:eastAsia="宋体" w:cs="宋体"/>
                      <w:kern w:val="0"/>
                      <w:sz w:val="24"/>
                    </w:rPr>
                    <w:t>批</w:t>
                  </w:r>
                </w:p>
              </w:tc>
              <w:tc>
                <w:tcPr>
                  <w:tcW w:w="122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46000</w:t>
                  </w:r>
                </w:p>
              </w:tc>
              <w:tc>
                <w:tcPr>
                  <w:tcW w:w="86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否</w:t>
                  </w:r>
                </w:p>
              </w:tc>
            </w:tr>
          </w:tbl>
          <w:p>
            <w:pPr>
              <w:jc w:val="center"/>
            </w:pPr>
          </w:p>
        </w:tc>
        <w:tc>
          <w:tcPr>
            <w:tcW w:w="127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rPr>
              <w:t>46000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3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ascii="宋体" w:hAnsi="宋体" w:eastAsia="宋体" w:cs="宋体"/>
                <w:kern w:val="0"/>
                <w:sz w:val="24"/>
              </w:rPr>
              <w:t>2</w:t>
            </w:r>
          </w:p>
        </w:tc>
        <w:tc>
          <w:tcPr>
            <w:tcW w:w="6096"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6"/>
              <w:tblW w:w="4988"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
            <w:tblGrid>
              <w:gridCol w:w="939"/>
              <w:gridCol w:w="2342"/>
              <w:gridCol w:w="684"/>
              <w:gridCol w:w="1220"/>
              <w:gridCol w:w="865"/>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3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tabs>
                      <w:tab w:val="left" w:pos="527"/>
                    </w:tabs>
                    <w:jc w:val="left"/>
                  </w:pPr>
                  <w:r>
                    <w:rPr>
                      <w:rFonts w:ascii="宋体" w:hAnsi="宋体" w:eastAsia="宋体" w:cs="宋体"/>
                      <w:kern w:val="0"/>
                      <w:sz w:val="24"/>
                    </w:rPr>
                    <w:t>1-</w:t>
                  </w:r>
                  <w:r>
                    <w:rPr>
                      <w:rFonts w:hint="eastAsia" w:ascii="宋体" w:hAnsi="宋体" w:eastAsia="宋体" w:cs="宋体"/>
                      <w:kern w:val="0"/>
                      <w:sz w:val="24"/>
                    </w:rPr>
                    <w:t>1</w:t>
                  </w:r>
                </w:p>
              </w:tc>
              <w:tc>
                <w:tcPr>
                  <w:tcW w:w="234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szCs w:val="21"/>
                      <w:shd w:val="clear" w:color="auto" w:fill="FFFFFF"/>
                      <w14:textFill>
                        <w14:solidFill>
                          <w14:schemeClr w14:val="tx1"/>
                        </w14:solidFill>
                      </w14:textFill>
                    </w:rPr>
                    <w:t>内科楼及外科楼出入控制闸机</w:t>
                  </w:r>
                </w:p>
              </w:tc>
              <w:tc>
                <w:tcPr>
                  <w:tcW w:w="68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w:t>
                  </w:r>
                  <w:r>
                    <w:rPr>
                      <w:rFonts w:hint="eastAsia" w:ascii="宋体" w:hAnsi="宋体" w:eastAsia="宋体" w:cs="宋体"/>
                      <w:kern w:val="0"/>
                      <w:sz w:val="24"/>
                    </w:rPr>
                    <w:t>批</w:t>
                  </w:r>
                </w:p>
              </w:tc>
              <w:tc>
                <w:tcPr>
                  <w:tcW w:w="122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rPr>
                    <w:t>25203</w:t>
                  </w:r>
                </w:p>
              </w:tc>
              <w:tc>
                <w:tcPr>
                  <w:tcW w:w="8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否</w:t>
                  </w:r>
                </w:p>
              </w:tc>
            </w:tr>
          </w:tbl>
          <w:p>
            <w:pPr>
              <w:jc w:val="center"/>
            </w:pPr>
          </w:p>
        </w:tc>
        <w:tc>
          <w:tcPr>
            <w:tcW w:w="127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rPr>
              <w:t>25203</w:t>
            </w:r>
          </w:p>
        </w:tc>
      </w:tr>
    </w:tbl>
    <w:p>
      <w:pPr>
        <w:pStyle w:val="5"/>
        <w:widowControl/>
        <w:spacing w:before="75" w:beforeAutospacing="0" w:after="75" w:afterAutospacing="0" w:line="435" w:lineRule="atLeast"/>
        <w:ind w:left="0" w:leftChars="0" w:firstLine="0" w:firstLineChars="0"/>
      </w:pPr>
      <w:r>
        <w:rPr>
          <w:rFonts w:hint="eastAsia" w:ascii="宋体" w:hAnsi="宋体" w:eastAsia="宋体" w:cs="宋体"/>
          <w:shd w:val="clear" w:color="auto" w:fill="FFFFFF"/>
          <w:lang w:eastAsia="zh-CN"/>
        </w:rPr>
        <w:t xml:space="preserve">    </w:t>
      </w:r>
      <w:r>
        <w:rPr>
          <w:rFonts w:hint="eastAsia" w:ascii="宋体" w:hAnsi="宋体" w:eastAsia="宋体" w:cs="宋体"/>
          <w:shd w:val="clear" w:color="auto" w:fill="FFFFFF"/>
        </w:rPr>
        <w:t xml:space="preserve"> 2</w:t>
      </w:r>
      <w:r>
        <w:rPr>
          <w:rFonts w:hint="eastAsia" w:ascii="宋体" w:hAnsi="宋体" w:eastAsia="宋体" w:cs="宋体"/>
        </w:rPr>
        <w:t>.供应商的资格要求</w:t>
      </w:r>
    </w:p>
    <w:p>
      <w:pPr>
        <w:pStyle w:val="5"/>
        <w:widowControl/>
        <w:spacing w:before="75" w:beforeAutospacing="0" w:after="75" w:afterAutospacing="0" w:line="435" w:lineRule="atLeast"/>
      </w:pPr>
      <w:r>
        <w:rPr>
          <w:rFonts w:hint="eastAsia" w:ascii="宋体" w:hAnsi="宋体" w:eastAsia="宋体" w:cs="宋体"/>
          <w:shd w:val="clear" w:color="auto" w:fill="FFFFFF"/>
          <w:lang w:eastAsia="zh-CN"/>
        </w:rPr>
        <w:t xml:space="preserve">   </w:t>
      </w:r>
      <w:r>
        <w:rPr>
          <w:rFonts w:hint="eastAsia" w:ascii="宋体" w:hAnsi="宋体" w:eastAsia="宋体" w:cs="宋体"/>
          <w:shd w:val="clear" w:color="auto" w:fill="FFFFFF"/>
        </w:rPr>
        <w:t>   2.1法定条件：符合《中华人民共和国政府采购法》第二十二条第一款规定的条件。</w:t>
      </w:r>
    </w:p>
    <w:p>
      <w:pPr>
        <w:pStyle w:val="5"/>
        <w:widowControl/>
        <w:spacing w:before="75" w:beforeAutospacing="0" w:after="75" w:afterAutospacing="0" w:line="435" w:lineRule="atLeast"/>
      </w:pPr>
      <w:r>
        <w:rPr>
          <w:rFonts w:hint="eastAsia" w:ascii="宋体" w:hAnsi="宋体" w:eastAsia="宋体" w:cs="宋体"/>
          <w:shd w:val="clear" w:color="auto" w:fill="FFFFFF"/>
          <w:lang w:eastAsia="zh-CN"/>
        </w:rPr>
        <w:t xml:space="preserve">   </w:t>
      </w:r>
      <w:r>
        <w:rPr>
          <w:rFonts w:hint="eastAsia" w:ascii="宋体" w:hAnsi="宋体" w:eastAsia="宋体" w:cs="宋体"/>
          <w:shd w:val="clear" w:color="auto" w:fill="FFFFFF"/>
        </w:rPr>
        <w:t>   2.2特定条件：</w:t>
      </w:r>
    </w:p>
    <w:p>
      <w:pPr>
        <w:pStyle w:val="5"/>
        <w:widowControl/>
        <w:spacing w:before="75" w:beforeAutospacing="0" w:after="240" w:afterAutospacing="0"/>
        <w:rPr>
          <w:rFonts w:eastAsia="宋体"/>
        </w:rPr>
      </w:pPr>
      <w:r>
        <w:rPr>
          <w:rFonts w:hint="eastAsia" w:ascii="宋体" w:hAnsi="宋体" w:eastAsia="宋体" w:cs="宋体"/>
          <w:shd w:val="clear" w:color="auto" w:fill="FFFFFF"/>
        </w:rPr>
        <w:t>   </w:t>
      </w:r>
      <w:r>
        <w:rPr>
          <w:rStyle w:val="8"/>
          <w:rFonts w:hint="eastAsia" w:ascii="宋体" w:hAnsi="宋体" w:eastAsia="宋体" w:cs="宋体"/>
          <w:shd w:val="clear" w:color="auto" w:fill="FFFFFF"/>
        </w:rPr>
        <w:t>包：1：2：无</w:t>
      </w:r>
    </w:p>
    <w:p>
      <w:pPr>
        <w:pStyle w:val="5"/>
        <w:widowControl/>
        <w:spacing w:before="75" w:beforeAutospacing="0" w:after="75" w:afterAutospacing="0" w:line="435" w:lineRule="atLeast"/>
        <w:rPr>
          <w:rFonts w:ascii="宋体" w:hAnsi="宋体" w:eastAsia="宋体" w:cs="宋体"/>
        </w:rPr>
      </w:pPr>
      <w:r>
        <w:rPr>
          <w:rFonts w:hint="eastAsia" w:ascii="宋体" w:hAnsi="宋体" w:eastAsia="宋体" w:cs="宋体"/>
          <w:lang w:eastAsia="zh-CN"/>
        </w:rPr>
        <w:t xml:space="preserve">   </w:t>
      </w:r>
      <w:r>
        <w:rPr>
          <w:rFonts w:hint="eastAsia" w:ascii="宋体" w:hAnsi="宋体" w:eastAsia="宋体" w:cs="宋体"/>
        </w:rPr>
        <w:t>  3.供应商报名期限：</w:t>
      </w:r>
    </w:p>
    <w:p>
      <w:pPr>
        <w:spacing w:line="500" w:lineRule="exact"/>
        <w:ind w:left="0" w:leftChars="0" w:firstLine="0" w:firstLineChars="0"/>
        <w:rPr>
          <w:rFonts w:ascii="宋体" w:hAnsi="宋体" w:eastAsia="宋体" w:cs="宋体"/>
          <w:sz w:val="22"/>
          <w:szCs w:val="22"/>
        </w:rPr>
      </w:pPr>
      <w:r>
        <w:rPr>
          <w:rFonts w:hint="eastAsia" w:ascii="宋体" w:hAnsi="宋体" w:eastAsia="宋体" w:cs="宋体"/>
          <w:sz w:val="24"/>
          <w:lang w:eastAsia="zh-CN"/>
        </w:rPr>
        <w:t xml:space="preserve">    </w:t>
      </w:r>
      <w:r>
        <w:rPr>
          <w:rFonts w:hint="eastAsia" w:ascii="宋体" w:hAnsi="宋体" w:eastAsia="宋体" w:cs="宋体"/>
          <w:sz w:val="24"/>
        </w:rPr>
        <w:t>凡有意参加供应商，请于</w:t>
      </w:r>
      <w:r>
        <w:rPr>
          <w:rFonts w:hint="eastAsia" w:ascii="宋体" w:hAnsi="宋体" w:eastAsia="宋体" w:cs="宋体"/>
          <w:sz w:val="24"/>
          <w:u w:val="single"/>
        </w:rPr>
        <w:t>2022</w:t>
      </w:r>
      <w:r>
        <w:rPr>
          <w:rFonts w:hint="eastAsia" w:ascii="宋体" w:hAnsi="宋体" w:eastAsia="宋体" w:cs="宋体"/>
          <w:sz w:val="24"/>
        </w:rPr>
        <w:t>年3月22日上午8点前将报名材料邮寄至宁德市中医院门诊五楼后勤管理科（以实际收到时间为准，即送达时间为3月22日上午8点前，）。未在规定时间内提交材料的将失去报价资格。</w:t>
      </w:r>
    </w:p>
    <w:p>
      <w:pPr>
        <w:spacing w:line="500" w:lineRule="exact"/>
        <w:ind w:firstLine="480" w:firstLineChars="200"/>
        <w:rPr>
          <w:rFonts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eastAsia="zh-CN"/>
        </w:rPr>
        <w:t>.</w:t>
      </w:r>
      <w:r>
        <w:rPr>
          <w:rFonts w:hint="eastAsia" w:ascii="宋体" w:hAnsi="宋体" w:eastAsia="宋体" w:cs="宋体"/>
          <w:sz w:val="24"/>
        </w:rPr>
        <w:t>询价时间、地点</w:t>
      </w:r>
    </w:p>
    <w:p>
      <w:pPr>
        <w:spacing w:line="500" w:lineRule="exact"/>
        <w:ind w:firstLine="480" w:firstLineChars="200"/>
        <w:rPr>
          <w:rFonts w:ascii="宋体" w:hAnsi="宋体" w:eastAsia="宋体" w:cs="宋体"/>
          <w:sz w:val="24"/>
        </w:rPr>
      </w:pPr>
      <w:r>
        <w:rPr>
          <w:rFonts w:hint="eastAsia" w:ascii="宋体" w:hAnsi="宋体" w:eastAsia="宋体" w:cs="宋体"/>
          <w:sz w:val="24"/>
        </w:rPr>
        <w:t>4.1时间：</w:t>
      </w:r>
      <w:r>
        <w:rPr>
          <w:rFonts w:hint="eastAsia" w:ascii="宋体" w:hAnsi="宋体" w:eastAsia="宋体" w:cs="宋体"/>
          <w:sz w:val="24"/>
          <w:u w:val="single"/>
        </w:rPr>
        <w:t>2022</w:t>
      </w:r>
      <w:r>
        <w:rPr>
          <w:rFonts w:hint="eastAsia" w:ascii="宋体" w:hAnsi="宋体" w:eastAsia="宋体" w:cs="宋体"/>
          <w:sz w:val="24"/>
        </w:rPr>
        <w:t>年</w:t>
      </w:r>
      <w:r>
        <w:rPr>
          <w:rFonts w:hint="eastAsia" w:ascii="宋体" w:hAnsi="宋体" w:eastAsia="宋体" w:cs="宋体"/>
          <w:sz w:val="24"/>
          <w:u w:val="single"/>
        </w:rPr>
        <w:t xml:space="preserve"> 3 </w:t>
      </w:r>
      <w:r>
        <w:rPr>
          <w:rFonts w:hint="eastAsia" w:ascii="宋体" w:hAnsi="宋体" w:eastAsia="宋体" w:cs="宋体"/>
          <w:sz w:val="24"/>
        </w:rPr>
        <w:t>月</w:t>
      </w:r>
      <w:r>
        <w:rPr>
          <w:rFonts w:hint="eastAsia" w:ascii="宋体" w:hAnsi="宋体" w:eastAsia="宋体" w:cs="宋体"/>
          <w:sz w:val="24"/>
          <w:u w:val="single"/>
        </w:rPr>
        <w:t xml:space="preserve">  22 </w:t>
      </w:r>
      <w:r>
        <w:rPr>
          <w:rFonts w:hint="eastAsia" w:ascii="宋体" w:hAnsi="宋体" w:eastAsia="宋体" w:cs="宋体"/>
          <w:sz w:val="24"/>
        </w:rPr>
        <w:t>日</w:t>
      </w:r>
      <w:r>
        <w:rPr>
          <w:rFonts w:hint="eastAsia" w:ascii="宋体" w:hAnsi="宋体" w:eastAsia="宋体" w:cs="宋体"/>
          <w:sz w:val="24"/>
          <w:u w:val="single"/>
        </w:rPr>
        <w:t xml:space="preserve"> 10 </w:t>
      </w:r>
      <w:r>
        <w:rPr>
          <w:rFonts w:hint="eastAsia" w:ascii="宋体" w:hAnsi="宋体" w:eastAsia="宋体" w:cs="宋体"/>
          <w:sz w:val="24"/>
        </w:rPr>
        <w:t xml:space="preserve"> ：</w:t>
      </w:r>
      <w:r>
        <w:rPr>
          <w:rFonts w:hint="eastAsia" w:ascii="宋体" w:hAnsi="宋体" w:eastAsia="宋体" w:cs="宋体"/>
          <w:sz w:val="24"/>
          <w:u w:val="single"/>
        </w:rPr>
        <w:t xml:space="preserve"> 00 </w:t>
      </w:r>
      <w:r>
        <w:rPr>
          <w:rFonts w:hint="eastAsia" w:ascii="宋体" w:hAnsi="宋体" w:eastAsia="宋体" w:cs="宋体"/>
          <w:sz w:val="24"/>
        </w:rPr>
        <w:t>（北京时间）；</w:t>
      </w:r>
    </w:p>
    <w:p>
      <w:pPr>
        <w:spacing w:line="500" w:lineRule="exact"/>
        <w:ind w:firstLine="480" w:firstLineChars="200"/>
        <w:rPr>
          <w:rFonts w:ascii="宋体" w:hAnsi="宋体" w:eastAsia="宋体" w:cs="宋体"/>
          <w:sz w:val="24"/>
        </w:rPr>
      </w:pPr>
      <w:r>
        <w:rPr>
          <w:rFonts w:hint="eastAsia" w:ascii="宋体" w:hAnsi="宋体" w:eastAsia="宋体" w:cs="宋体"/>
          <w:sz w:val="24"/>
        </w:rPr>
        <w:t>4.2  地点：福建省宁德市蕉城区东湖路16号宁德市中医院门诊五楼会议室。</w:t>
      </w:r>
    </w:p>
    <w:p>
      <w:pPr>
        <w:spacing w:line="500" w:lineRule="exact"/>
        <w:ind w:firstLine="480" w:firstLineChars="200"/>
        <w:rPr>
          <w:rFonts w:ascii="宋体" w:hAnsi="宋体" w:eastAsia="宋体" w:cs="宋体"/>
          <w:bCs/>
          <w:sz w:val="24"/>
        </w:rPr>
      </w:pPr>
      <w:r>
        <w:rPr>
          <w:rFonts w:hint="eastAsia" w:ascii="宋体" w:hAnsi="宋体" w:eastAsia="宋体" w:cs="宋体"/>
          <w:bCs/>
          <w:sz w:val="24"/>
        </w:rPr>
        <w:t>4.3</w:t>
      </w:r>
      <w:r>
        <w:rPr>
          <w:rFonts w:hint="eastAsia" w:ascii="宋体" w:hAnsi="宋体" w:eastAsia="宋体" w:cs="宋体"/>
          <w:bCs/>
          <w:sz w:val="24"/>
          <w:lang w:eastAsia="zh-CN"/>
        </w:rPr>
        <w:t xml:space="preserve">  </w:t>
      </w:r>
      <w:r>
        <w:rPr>
          <w:rFonts w:hint="eastAsia" w:ascii="宋体" w:hAnsi="宋体" w:eastAsia="宋体" w:cs="宋体"/>
          <w:sz w:val="24"/>
        </w:rPr>
        <w:t>联系方式</w:t>
      </w:r>
    </w:p>
    <w:p>
      <w:pPr>
        <w:tabs>
          <w:tab w:val="left" w:pos="3615"/>
        </w:tabs>
        <w:spacing w:line="500" w:lineRule="exact"/>
        <w:ind w:firstLine="480" w:firstLineChars="200"/>
        <w:rPr>
          <w:rFonts w:ascii="宋体" w:hAnsi="宋体" w:eastAsia="宋体" w:cs="宋体"/>
          <w:kern w:val="1"/>
          <w:sz w:val="24"/>
          <w:u w:val="single"/>
        </w:rPr>
      </w:pPr>
      <w:r>
        <w:rPr>
          <w:rFonts w:hint="eastAsia" w:ascii="宋体" w:hAnsi="宋体" w:eastAsia="宋体" w:cs="宋体"/>
          <w:kern w:val="1"/>
          <w:sz w:val="24"/>
        </w:rPr>
        <w:t>地  址：</w:t>
      </w:r>
      <w:r>
        <w:rPr>
          <w:rFonts w:hint="eastAsia" w:ascii="宋体" w:hAnsi="宋体" w:eastAsia="宋体" w:cs="宋体"/>
          <w:kern w:val="1"/>
          <w:sz w:val="24"/>
          <w:u w:val="single"/>
        </w:rPr>
        <w:t>福建省宁德市蕉城区</w:t>
      </w:r>
      <w:r>
        <w:rPr>
          <w:rFonts w:hint="eastAsia" w:ascii="宋体" w:hAnsi="宋体" w:eastAsia="宋体" w:cs="宋体"/>
          <w:sz w:val="24"/>
        </w:rPr>
        <w:t>东湖路16号宁德市中医院</w:t>
      </w:r>
    </w:p>
    <w:p>
      <w:pPr>
        <w:tabs>
          <w:tab w:val="left" w:pos="3615"/>
        </w:tabs>
        <w:spacing w:line="500" w:lineRule="exact"/>
        <w:ind w:firstLine="480"/>
        <w:rPr>
          <w:rFonts w:ascii="宋体" w:hAnsi="宋体" w:eastAsia="宋体" w:cs="宋体"/>
          <w:kern w:val="1"/>
          <w:sz w:val="24"/>
        </w:rPr>
      </w:pPr>
      <w:r>
        <w:rPr>
          <w:rFonts w:hint="eastAsia" w:ascii="宋体" w:hAnsi="宋体" w:eastAsia="宋体" w:cs="宋体"/>
          <w:kern w:val="1"/>
          <w:sz w:val="24"/>
        </w:rPr>
        <w:t>邮  编：</w:t>
      </w:r>
      <w:r>
        <w:rPr>
          <w:rFonts w:hint="eastAsia" w:ascii="宋体" w:hAnsi="宋体" w:eastAsia="宋体" w:cs="宋体"/>
          <w:kern w:val="1"/>
          <w:sz w:val="24"/>
          <w:u w:val="single"/>
        </w:rPr>
        <w:t>352100</w:t>
      </w:r>
    </w:p>
    <w:p>
      <w:pPr>
        <w:spacing w:line="500" w:lineRule="exact"/>
        <w:ind w:firstLine="480"/>
        <w:rPr>
          <w:rFonts w:ascii="宋体" w:hAnsi="宋体" w:eastAsia="宋体" w:cs="宋体"/>
          <w:kern w:val="1"/>
          <w:sz w:val="24"/>
          <w:u w:val="single"/>
        </w:rPr>
      </w:pPr>
      <w:r>
        <w:rPr>
          <w:rFonts w:hint="eastAsia" w:ascii="宋体" w:hAnsi="宋体" w:eastAsia="宋体" w:cs="宋体"/>
          <w:kern w:val="1"/>
          <w:sz w:val="24"/>
        </w:rPr>
        <w:t>电  话：</w:t>
      </w:r>
      <w:r>
        <w:rPr>
          <w:rFonts w:hint="eastAsia" w:ascii="宋体" w:hAnsi="宋体" w:eastAsia="宋体" w:cs="宋体"/>
          <w:kern w:val="1"/>
          <w:sz w:val="24"/>
          <w:u w:val="single"/>
        </w:rPr>
        <w:t>0593-2093006</w:t>
      </w:r>
    </w:p>
    <w:p>
      <w:pPr>
        <w:spacing w:line="500" w:lineRule="exact"/>
        <w:ind w:firstLine="480"/>
        <w:rPr>
          <w:rFonts w:ascii="宋体" w:hAnsi="宋体" w:eastAsia="宋体" w:cs="宋体"/>
          <w:kern w:val="1"/>
          <w:sz w:val="24"/>
          <w:u w:val="single"/>
        </w:rPr>
      </w:pPr>
      <w:r>
        <w:rPr>
          <w:rFonts w:hint="eastAsia" w:ascii="宋体" w:hAnsi="宋体" w:eastAsia="宋体" w:cs="宋体"/>
          <w:kern w:val="1"/>
          <w:sz w:val="24"/>
        </w:rPr>
        <w:t>联系人：</w:t>
      </w:r>
      <w:r>
        <w:rPr>
          <w:rFonts w:hint="eastAsia" w:ascii="宋体" w:hAnsi="宋体" w:eastAsia="宋体" w:cs="宋体"/>
          <w:kern w:val="1"/>
          <w:sz w:val="24"/>
          <w:u w:val="single"/>
        </w:rPr>
        <w:t xml:space="preserve">  林玉梅  </w:t>
      </w:r>
    </w:p>
    <w:p>
      <w:pPr>
        <w:spacing w:line="500" w:lineRule="exact"/>
        <w:ind w:firstLine="480"/>
        <w:rPr>
          <w:rFonts w:ascii="宋体" w:hAnsi="宋体" w:eastAsia="宋体" w:cs="宋体"/>
          <w:kern w:val="1"/>
          <w:sz w:val="24"/>
          <w:u w:val="single"/>
        </w:rPr>
      </w:pPr>
      <w:r>
        <w:rPr>
          <w:rFonts w:hint="eastAsia" w:ascii="宋体" w:hAnsi="宋体" w:eastAsia="宋体" w:cs="宋体"/>
          <w:kern w:val="1"/>
          <w:sz w:val="24"/>
        </w:rPr>
        <w:t>电子信箱：</w:t>
      </w:r>
      <w:r>
        <w:rPr>
          <w:rFonts w:hint="eastAsia" w:ascii="宋体" w:hAnsi="宋体" w:eastAsia="宋体" w:cs="宋体"/>
          <w:kern w:val="1"/>
          <w:sz w:val="24"/>
          <w:u w:val="single"/>
        </w:rPr>
        <w:t>fjsndszyy@163.com</w:t>
      </w:r>
    </w:p>
    <w:p>
      <w:pPr>
        <w:pStyle w:val="5"/>
        <w:widowControl/>
        <w:spacing w:before="75" w:beforeAutospacing="0" w:after="75" w:afterAutospacing="0" w:line="405" w:lineRule="atLeast"/>
        <w:ind w:firstLine="240"/>
        <w:rPr>
          <w:rFonts w:hint="eastAsia" w:ascii="宋体" w:hAnsi="宋体" w:eastAsia="宋体" w:cs="宋体"/>
        </w:rPr>
      </w:pPr>
      <w:r>
        <w:rPr>
          <w:rFonts w:hint="eastAsia" w:ascii="宋体" w:hAnsi="宋体" w:eastAsia="宋体" w:cs="宋体"/>
          <w:lang w:eastAsia="zh-CN"/>
        </w:rPr>
        <w:t xml:space="preserve">  </w:t>
      </w:r>
      <w:r>
        <w:rPr>
          <w:rFonts w:hint="eastAsia" w:ascii="宋体" w:hAnsi="宋体" w:eastAsia="宋体" w:cs="宋体"/>
        </w:rPr>
        <w:t> 5.将采用最低评审价法对提交最后报价的合格供应商的响应文件和最后报价进行评审，并确定成交候选人。</w:t>
      </w:r>
    </w:p>
    <w:p>
      <w:pPr>
        <w:pStyle w:val="5"/>
        <w:widowControl/>
        <w:spacing w:before="75" w:beforeAutospacing="0" w:after="75" w:afterAutospacing="0" w:line="405" w:lineRule="atLeast"/>
        <w:ind w:firstLine="240"/>
        <w:rPr>
          <w:rStyle w:val="8"/>
          <w:rFonts w:hint="eastAsia" w:ascii="宋体" w:hAnsi="宋体" w:eastAsia="宋体" w:cs="宋体"/>
          <w:lang w:eastAsia="zh-CN"/>
        </w:rPr>
      </w:pPr>
      <w:r>
        <w:rPr>
          <w:rFonts w:hint="eastAsia" w:ascii="宋体" w:hAnsi="宋体" w:eastAsia="宋体" w:cs="宋体"/>
        </w:rPr>
        <w:t xml:space="preserve">  6</w:t>
      </w:r>
      <w:r>
        <w:rPr>
          <w:rFonts w:hint="eastAsia" w:ascii="宋体" w:hAnsi="宋体" w:eastAsia="宋体" w:cs="宋体"/>
          <w:lang w:eastAsia="zh-CN"/>
        </w:rPr>
        <w:t>.</w:t>
      </w:r>
      <w:r>
        <w:rPr>
          <w:rStyle w:val="8"/>
          <w:rFonts w:hint="eastAsia" w:ascii="宋体" w:hAnsi="宋体" w:eastAsia="宋体" w:cs="宋体"/>
        </w:rPr>
        <w:t>采购要求</w:t>
      </w:r>
      <w:r>
        <w:rPr>
          <w:rStyle w:val="8"/>
          <w:rFonts w:hint="eastAsia" w:ascii="宋体" w:hAnsi="宋体" w:eastAsia="宋体" w:cs="宋体"/>
          <w:lang w:eastAsia="zh-CN"/>
        </w:rPr>
        <w:t xml:space="preserve"> </w:t>
      </w:r>
    </w:p>
    <w:p>
      <w:pPr>
        <w:pStyle w:val="5"/>
        <w:widowControl/>
        <w:spacing w:before="75" w:beforeAutospacing="0" w:after="75" w:afterAutospacing="0" w:line="405" w:lineRule="atLeast"/>
        <w:ind w:firstLine="240"/>
      </w:pPr>
      <w:r>
        <w:rPr>
          <w:rFonts w:hint="eastAsia"/>
          <w:lang w:eastAsia="zh-CN"/>
        </w:rPr>
        <w:t xml:space="preserve"> </w:t>
      </w:r>
      <w:r>
        <w:rPr>
          <w:rFonts w:hint="eastAsia"/>
        </w:rPr>
        <w:t xml:space="preserve"> 6.</w:t>
      </w:r>
      <w:r>
        <w:rPr>
          <w:rFonts w:hint="eastAsia" w:ascii="宋体" w:hAnsi="宋体" w:eastAsia="宋体" w:cs="宋体"/>
        </w:rPr>
        <w:t>1本次采购项目为宁德市中医院</w:t>
      </w:r>
      <w:r>
        <w:rPr>
          <w:rFonts w:hint="eastAsia" w:ascii="宋体" w:hAnsi="宋体" w:eastAsia="宋体" w:cs="宋体"/>
          <w:color w:val="auto"/>
        </w:rPr>
        <w:t>两轮车健康码识别闸机采购项目及</w:t>
      </w:r>
      <w:r>
        <w:rPr>
          <w:rFonts w:hint="eastAsia" w:ascii="宋体" w:hAnsi="宋体" w:eastAsia="宋体" w:cs="宋体"/>
          <w:color w:val="auto"/>
          <w:shd w:val="clear" w:color="auto" w:fill="FFFFFF"/>
        </w:rPr>
        <w:t>内科楼及外科楼出入控制闸机</w:t>
      </w:r>
      <w:r>
        <w:rPr>
          <w:rFonts w:hint="eastAsia" w:ascii="宋体" w:hAnsi="宋体" w:eastAsia="宋体" w:cs="宋体"/>
        </w:rPr>
        <w:t>采购项目，所采购的货物和服务主要供宁德市中医院使用。</w:t>
      </w:r>
    </w:p>
    <w:p>
      <w:pPr>
        <w:pStyle w:val="5"/>
        <w:widowControl/>
        <w:spacing w:beforeAutospacing="0" w:afterAutospacing="0" w:line="360" w:lineRule="auto"/>
        <w:ind w:firstLine="480" w:firstLineChars="200"/>
        <w:rPr>
          <w:rFonts w:ascii="微软雅黑" w:hAnsi="微软雅黑" w:eastAsia="微软雅黑" w:cs="微软雅黑"/>
          <w:sz w:val="27"/>
          <w:szCs w:val="27"/>
        </w:rPr>
      </w:pPr>
      <w:r>
        <w:rPr>
          <w:rFonts w:hint="eastAsia" w:ascii="宋体" w:hAnsi="宋体" w:eastAsia="宋体" w:cs="宋体"/>
        </w:rPr>
        <w:t>6.2要求各报价人所投的产品必须是经检测符合相关要求的产品。</w:t>
      </w:r>
    </w:p>
    <w:p>
      <w:pPr>
        <w:pStyle w:val="5"/>
        <w:widowControl/>
        <w:spacing w:beforeAutospacing="0" w:afterAutospacing="0" w:line="360" w:lineRule="auto"/>
        <w:ind w:left="0" w:leftChars="0" w:firstLine="0" w:firstLineChars="0"/>
        <w:rPr>
          <w:rFonts w:ascii="微软雅黑" w:hAnsi="微软雅黑" w:eastAsia="微软雅黑" w:cs="微软雅黑"/>
          <w:sz w:val="27"/>
          <w:szCs w:val="27"/>
        </w:rPr>
      </w:pPr>
      <w:r>
        <w:rPr>
          <w:rFonts w:hint="eastAsia" w:ascii="宋体" w:hAnsi="宋体" w:eastAsia="宋体" w:cs="宋体"/>
          <w:lang w:eastAsia="zh-CN"/>
        </w:rPr>
        <w:t xml:space="preserve">    </w:t>
      </w:r>
      <w:r>
        <w:rPr>
          <w:rFonts w:hint="eastAsia" w:ascii="宋体" w:hAnsi="宋体" w:eastAsia="宋体" w:cs="宋体"/>
        </w:rPr>
        <w:t>6.3报价人报价应包含但不限于货物运输费、装卸费、保险费、综合管理费、人工费、税费、验收费费用等，采购人不再支付其他额外的费用，还要考虑到合同中可能出现的索赔和变更。另，因人工费、材料费、机械费、措施费、政策调整、技术变化等风险因素造成市场价格波动，各报价人在报价时应考虑上述风险因素。各报价人应依据竞争性谈判文件要求自行核算成本报价，如有遗漏部分将不再进行增补。</w:t>
      </w:r>
    </w:p>
    <w:p>
      <w:pPr>
        <w:pStyle w:val="5"/>
        <w:widowControl/>
        <w:spacing w:beforeAutospacing="0" w:afterAutospacing="0" w:line="360" w:lineRule="auto"/>
        <w:ind w:firstLine="480" w:firstLineChars="200"/>
        <w:rPr>
          <w:rFonts w:ascii="微软雅黑" w:hAnsi="微软雅黑" w:eastAsia="微软雅黑" w:cs="微软雅黑"/>
          <w:color w:val="auto"/>
          <w:sz w:val="27"/>
          <w:szCs w:val="27"/>
        </w:rPr>
      </w:pPr>
      <w:r>
        <w:rPr>
          <w:rFonts w:hint="eastAsia" w:ascii="宋体" w:hAnsi="宋体" w:eastAsia="宋体" w:cs="宋体"/>
          <w:color w:val="auto"/>
        </w:rPr>
        <w:t>6.4  本项目</w:t>
      </w:r>
      <w:r>
        <w:rPr>
          <w:rFonts w:hint="eastAsia" w:ascii="宋体" w:hAnsi="宋体" w:eastAsia="宋体" w:cs="宋体"/>
          <w:color w:val="auto"/>
          <w:lang w:val="en-US" w:eastAsia="zh-CN"/>
        </w:rPr>
        <w:t>包1</w:t>
      </w:r>
      <w:r>
        <w:rPr>
          <w:rFonts w:hint="eastAsia" w:ascii="宋体" w:hAnsi="宋体" w:eastAsia="宋体" w:cs="宋体"/>
          <w:color w:val="auto"/>
        </w:rPr>
        <w:t>核心产品为“</w:t>
      </w:r>
      <w:r>
        <w:rPr>
          <w:rFonts w:hint="eastAsia" w:ascii="宋体" w:hAnsi="宋体" w:eastAsia="宋体" w:cs="宋体"/>
          <w:color w:val="auto"/>
          <w:kern w:val="0"/>
          <w:sz w:val="24"/>
        </w:rPr>
        <w:t>两轮车摆闸</w:t>
      </w:r>
      <w:r>
        <w:rPr>
          <w:rFonts w:hint="eastAsia" w:ascii="宋体" w:hAnsi="宋体" w:eastAsia="宋体" w:cs="宋体"/>
          <w:color w:val="auto"/>
        </w:rPr>
        <w:t>”</w:t>
      </w:r>
      <w:r>
        <w:rPr>
          <w:rFonts w:hint="eastAsia" w:ascii="宋体" w:hAnsi="宋体" w:eastAsia="宋体" w:cs="宋体"/>
          <w:color w:val="auto"/>
          <w:lang w:eastAsia="zh-CN"/>
        </w:rPr>
        <w:t>，</w:t>
      </w:r>
      <w:r>
        <w:rPr>
          <w:rFonts w:hint="eastAsia" w:ascii="宋体" w:hAnsi="宋体" w:eastAsia="宋体" w:cs="宋体"/>
          <w:color w:val="auto"/>
          <w:lang w:val="en-US" w:eastAsia="zh-CN"/>
        </w:rPr>
        <w:t>包2</w:t>
      </w:r>
      <w:r>
        <w:rPr>
          <w:rFonts w:hint="eastAsia" w:ascii="宋体" w:hAnsi="宋体" w:eastAsia="宋体" w:cs="宋体"/>
          <w:color w:val="auto"/>
        </w:rPr>
        <w:t>“</w:t>
      </w:r>
      <w:r>
        <w:rPr>
          <w:rFonts w:hint="eastAsia" w:ascii="宋体" w:hAnsi="宋体" w:eastAsia="宋体" w:cs="宋体"/>
          <w:color w:val="auto"/>
          <w:kern w:val="0"/>
          <w:sz w:val="24"/>
        </w:rPr>
        <w:t>入口闸机</w:t>
      </w:r>
      <w:r>
        <w:rPr>
          <w:rFonts w:hint="eastAsia" w:ascii="宋体" w:hAnsi="宋体" w:eastAsia="宋体" w:cs="宋体"/>
          <w:color w:val="auto"/>
        </w:rPr>
        <w:t>”，报价人若提供相同品牌产品的不同报价人参加同一合同项下报价的，以其中通过资格审查、符合性审查且报价最低的参加评标；报价相同的，由竞争性谈判小组按照随机抽取方式确定一个报价人作为成交候选人推荐。</w:t>
      </w:r>
    </w:p>
    <w:p>
      <w:pPr>
        <w:pStyle w:val="5"/>
        <w:widowControl/>
        <w:spacing w:beforeAutospacing="0" w:afterAutospacing="0" w:line="360" w:lineRule="auto"/>
        <w:ind w:firstLine="482" w:firstLineChars="200"/>
        <w:rPr>
          <w:rFonts w:ascii="微软雅黑" w:hAnsi="微软雅黑" w:eastAsia="微软雅黑" w:cs="微软雅黑"/>
          <w:sz w:val="27"/>
          <w:szCs w:val="27"/>
        </w:rPr>
      </w:pPr>
      <w:r>
        <w:rPr>
          <w:rStyle w:val="8"/>
          <w:rFonts w:hint="eastAsia" w:ascii="宋体" w:hAnsi="宋体" w:eastAsia="宋体" w:cs="宋体"/>
        </w:rPr>
        <w:t>6.5询价中所有“技术和服务要求”及“商务条件”均为不允许负偏离的实质性要求。报价人所投产品的性能及服务不得低于谈判文件中的“技术和服务要求”,否则按无效响应处理；报价人承诺的所有商务条件不得低于询价文件“商务条件”要求，否则按无效响应处理。</w:t>
      </w:r>
    </w:p>
    <w:p>
      <w:pPr>
        <w:pStyle w:val="5"/>
        <w:widowControl/>
        <w:spacing w:before="75" w:beforeAutospacing="0" w:after="75" w:afterAutospacing="0"/>
        <w:rPr>
          <w:rFonts w:ascii="宋体" w:hAnsi="宋体" w:eastAsia="宋体" w:cs="宋体"/>
        </w:rPr>
      </w:pPr>
      <w:r>
        <w:rPr>
          <w:rFonts w:hint="eastAsia" w:ascii="宋体" w:hAnsi="宋体" w:eastAsia="宋体" w:cs="宋体"/>
        </w:rPr>
        <w:t xml:space="preserve">    6.6 技术和服务要求</w:t>
      </w:r>
    </w:p>
    <w:tbl>
      <w:tblPr>
        <w:tblStyle w:val="6"/>
        <w:tblW w:w="9765" w:type="dxa"/>
        <w:tblInd w:w="-186" w:type="dxa"/>
        <w:tblLayout w:type="fixed"/>
        <w:tblCellMar>
          <w:top w:w="0" w:type="dxa"/>
          <w:left w:w="108" w:type="dxa"/>
          <w:bottom w:w="0" w:type="dxa"/>
          <w:right w:w="108" w:type="dxa"/>
        </w:tblCellMar>
      </w:tblPr>
      <w:tblGrid>
        <w:gridCol w:w="750"/>
        <w:gridCol w:w="975"/>
        <w:gridCol w:w="6480"/>
        <w:gridCol w:w="825"/>
        <w:gridCol w:w="735"/>
      </w:tblGrid>
      <w:tr>
        <w:tblPrEx>
          <w:tblCellMar>
            <w:top w:w="0" w:type="dxa"/>
            <w:left w:w="108" w:type="dxa"/>
            <w:bottom w:w="0" w:type="dxa"/>
            <w:right w:w="108" w:type="dxa"/>
          </w:tblCellMar>
        </w:tblPrEx>
        <w:trPr>
          <w:trHeight w:val="720" w:hRule="atLeast"/>
        </w:trPr>
        <w:tc>
          <w:tcPr>
            <w:tcW w:w="9765" w:type="dxa"/>
            <w:gridSpan w:val="5"/>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rPr>
              <w:t>包1：两轮车健康码识别闸机</w:t>
            </w:r>
          </w:p>
        </w:tc>
      </w:tr>
      <w:tr>
        <w:tblPrEx>
          <w:tblCellMar>
            <w:top w:w="0" w:type="dxa"/>
            <w:left w:w="108" w:type="dxa"/>
            <w:bottom w:w="0" w:type="dxa"/>
            <w:right w:w="108"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名称</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技术参数及功能要求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数量</w:t>
            </w:r>
          </w:p>
        </w:tc>
      </w:tr>
      <w:tr>
        <w:tblPrEx>
          <w:tblCellMar>
            <w:top w:w="0" w:type="dxa"/>
            <w:left w:w="108" w:type="dxa"/>
            <w:bottom w:w="0" w:type="dxa"/>
            <w:right w:w="108" w:type="dxa"/>
          </w:tblCellMar>
        </w:tblPrEx>
        <w:trPr>
          <w:trHeight w:val="26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健康码识别一体机</w:t>
            </w:r>
          </w:p>
        </w:tc>
        <w:tc>
          <w:tcPr>
            <w:tcW w:w="64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1、本次采购设备应支持健康码检测功能，具备扩展身份证读卡器、CTID二维码识别、测温模组、NFC读卡器以及医保卡核验等多种功能。</w:t>
            </w:r>
          </w:p>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2、设备应采用触摸显示屏，尺寸不小于7英寸LCD触摸显示屏，屏幕流明度不低于210cd/m',  分辨率不小于1024*600，设备采用高清双目宽动态相机(可见光摄像头*1，红外摄像头*1)，最大分辨率:不低于1920X1080，帧率不低于25帧/s;屏幕防暴等级不低于IK05。</w:t>
            </w:r>
          </w:p>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3、设备具有CTID核验软件功能，并具备自主知识产权。</w:t>
            </w:r>
          </w:p>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xml:space="preserve">4、通行信息记录功能:实时记录刷健康码进入人员健康码状态，以及手臂温度数值。  </w:t>
            </w:r>
          </w:p>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5、防疫检测配置功能:可以通过平台软件配置体温检测通行、体温检测+防疫健康码通行两种通行策略。（测温前提条件:测温范围内保持18℃以内的常温环境以及无阳光直射）</w:t>
            </w:r>
          </w:p>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 xml:space="preserve">6、设备管理功能:所有前端设备在管理后台可以查看设备状态，进行通行规则配置，以便及时维护,支持远程升级。  </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CellMar>
            <w:top w:w="0" w:type="dxa"/>
            <w:left w:w="108" w:type="dxa"/>
            <w:bottom w:w="0" w:type="dxa"/>
            <w:right w:w="108" w:type="dxa"/>
          </w:tblCellMar>
        </w:tblPrEx>
        <w:trPr>
          <w:trHeight w:val="21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两轮车摆闸</w:t>
            </w:r>
          </w:p>
        </w:tc>
        <w:tc>
          <w:tcPr>
            <w:tcW w:w="64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1、外观结构：设备箱体应采用国产SUS304不锈钢材质，厚度应≥1.2mm，单机尺寸≧1200*260*1000mm</w:t>
            </w:r>
          </w:p>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2、红外检测：设备采用≥4对红外对射，能在晴天、雨天等环境下稳定运行，不产生误报，最小检测间距可达30mm。</w:t>
            </w:r>
          </w:p>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xml:space="preserve">3、漏电开关装置 </w:t>
            </w:r>
          </w:p>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4、断电自动打开装置</w:t>
            </w:r>
          </w:p>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5、通道净宽度≥1.2米</w:t>
            </w:r>
          </w:p>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6、可设置定时开关门</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通道</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CellMar>
            <w:top w:w="0" w:type="dxa"/>
            <w:left w:w="108" w:type="dxa"/>
            <w:bottom w:w="0" w:type="dxa"/>
            <w:right w:w="108"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刷卡设备</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摆闸可刷卡开门，通过刷卡设备进行管理授权门禁卡。</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通道</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CellMar>
            <w:top w:w="0" w:type="dxa"/>
            <w:left w:w="108" w:type="dxa"/>
            <w:bottom w:w="0" w:type="dxa"/>
            <w:right w:w="108" w:type="dxa"/>
          </w:tblCellMar>
        </w:tblPrEx>
        <w:trPr>
          <w:trHeight w:val="57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定制门禁卡</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定制手机贴片式或滴胶式门禁卡，后期补卡价格参照本项投标报价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张</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800</w:t>
            </w:r>
          </w:p>
        </w:tc>
      </w:tr>
      <w:tr>
        <w:tblPrEx>
          <w:tblCellMar>
            <w:top w:w="0" w:type="dxa"/>
            <w:left w:w="108" w:type="dxa"/>
            <w:bottom w:w="0" w:type="dxa"/>
            <w:right w:w="108"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落地支架</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扫码机刷卡落地支架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CellMar>
            <w:top w:w="0" w:type="dxa"/>
            <w:left w:w="108" w:type="dxa"/>
            <w:bottom w:w="0" w:type="dxa"/>
            <w:right w:w="108"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电力接入</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就近引入220伏市电，必须引入地线，需配设备箱、空开、漏保、设备需安全接地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网络接入</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互联网线路接入，包含前端接入所需的交换机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trHeight w:val="740" w:hRule="atLeast"/>
        </w:trPr>
        <w:tc>
          <w:tcPr>
            <w:tcW w:w="9765" w:type="dxa"/>
            <w:gridSpan w:val="5"/>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rPr>
              <w:t>包2：内科楼及外科楼出入控制闸机</w:t>
            </w:r>
          </w:p>
        </w:tc>
      </w:tr>
      <w:tr>
        <w:tblPrEx>
          <w:tblCellMar>
            <w:top w:w="0" w:type="dxa"/>
            <w:left w:w="108" w:type="dxa"/>
            <w:bottom w:w="0" w:type="dxa"/>
            <w:right w:w="108" w:type="dxa"/>
          </w:tblCellMar>
        </w:tblPrEx>
        <w:trPr>
          <w:trHeight w:val="21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入口闸机</w:t>
            </w:r>
          </w:p>
        </w:tc>
        <w:tc>
          <w:tcPr>
            <w:tcW w:w="64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1、外观结构：设备箱体应采用国产SUS304不锈钢材质，厚度应≥1.2mm，单机尺寸≧1200*260*1000mm</w:t>
            </w:r>
          </w:p>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2、红外检测：设备采用≥4对红外对射，能在晴天、雨天等环境下稳定运行，不产生误报，最小检测间距可达30mm。</w:t>
            </w:r>
          </w:p>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xml:space="preserve">3、漏电开关装置 </w:t>
            </w:r>
          </w:p>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4、断电自动打开装置</w:t>
            </w:r>
          </w:p>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5、通道净宽度≥1.2米</w:t>
            </w:r>
          </w:p>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6、可设置为手动按键开门或者病床及轮椅通过时自动感应开门</w:t>
            </w:r>
          </w:p>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7、可设置定时开关门</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通道</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CellMar>
            <w:top w:w="0" w:type="dxa"/>
            <w:left w:w="108" w:type="dxa"/>
            <w:bottom w:w="0" w:type="dxa"/>
            <w:right w:w="108" w:type="dxa"/>
          </w:tblCellMar>
        </w:tblPrEx>
        <w:trPr>
          <w:trHeight w:val="12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出口闸机</w:t>
            </w:r>
          </w:p>
        </w:tc>
        <w:tc>
          <w:tcPr>
            <w:tcW w:w="648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1、外观结构：设备箱体应采用国产SUS304不锈钢材质，厚度应≥1.2mm，单机尺寸≧1200*260*1000mm</w:t>
            </w:r>
          </w:p>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2、可手动按键开门或自动感应开门</w:t>
            </w:r>
          </w:p>
          <w:p>
            <w:pPr>
              <w:widowControl/>
              <w:jc w:val="left"/>
              <w:textAlignment w:val="top"/>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3、通道净宽度≥0.5米</w:t>
            </w:r>
          </w:p>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4、可设置定时开关门</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通道</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CellMar>
            <w:top w:w="0" w:type="dxa"/>
            <w:left w:w="108" w:type="dxa"/>
            <w:bottom w:w="0" w:type="dxa"/>
            <w:right w:w="108"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刷卡设备</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摆闸可刷卡开门，通过刷卡设备进行管理授权门禁卡。</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通道</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r>
      <w:tr>
        <w:tblPrEx>
          <w:tblCellMar>
            <w:top w:w="0" w:type="dxa"/>
            <w:left w:w="108" w:type="dxa"/>
            <w:bottom w:w="0" w:type="dxa"/>
            <w:right w:w="108"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门禁卡</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标准门禁卡，后期补卡价格参照本项投标报价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张</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120</w:t>
            </w:r>
          </w:p>
        </w:tc>
      </w:tr>
      <w:tr>
        <w:tblPrEx>
          <w:tblCellMar>
            <w:top w:w="0" w:type="dxa"/>
            <w:left w:w="108" w:type="dxa"/>
            <w:bottom w:w="0" w:type="dxa"/>
            <w:right w:w="108" w:type="dxa"/>
          </w:tblCellMar>
        </w:tblPrEx>
        <w:trPr>
          <w:trHeight w:val="57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不锈钢栅栏</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内科楼闸机宽度不足部分使用不锈钢栅栏进行围挡，围挡长度≤4米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r>
      <w:tr>
        <w:tblPrEx>
          <w:tblCellMar>
            <w:top w:w="0" w:type="dxa"/>
            <w:left w:w="108" w:type="dxa"/>
            <w:bottom w:w="0" w:type="dxa"/>
            <w:right w:w="108"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电力接入</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就近引入220伏市电，必须引入地线，需配设备箱、空开、漏保、设备需安全接地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CellMar>
            <w:top w:w="0" w:type="dxa"/>
            <w:left w:w="108" w:type="dxa"/>
            <w:bottom w:w="0" w:type="dxa"/>
            <w:right w:w="108" w:type="dxa"/>
          </w:tblCellMar>
        </w:tblPrEx>
        <w:trPr>
          <w:trHeight w:val="375" w:hRule="atLeast"/>
        </w:trPr>
        <w:tc>
          <w:tcPr>
            <w:tcW w:w="9765" w:type="dxa"/>
            <w:gridSpan w:val="5"/>
            <w:tcBorders>
              <w:top w:val="nil"/>
              <w:left w:val="nil"/>
              <w:bottom w:val="nil"/>
              <w:right w:val="nil"/>
            </w:tcBorders>
            <w:shd w:val="clear" w:color="auto" w:fill="auto"/>
            <w:vAlign w:val="center"/>
          </w:tcPr>
          <w:p>
            <w:pPr>
              <w:widowControl/>
              <w:jc w:val="center"/>
              <w:textAlignment w:val="center"/>
              <w:rPr>
                <w:rFonts w:ascii="宋体" w:hAnsi="宋体" w:eastAsia="宋体" w:cs="宋体"/>
                <w:color w:val="000000"/>
                <w:sz w:val="28"/>
                <w:szCs w:val="28"/>
              </w:rPr>
            </w:pPr>
          </w:p>
        </w:tc>
      </w:tr>
    </w:tbl>
    <w:p>
      <w:pPr>
        <w:pStyle w:val="5"/>
        <w:widowControl/>
        <w:spacing w:before="75" w:beforeAutospacing="0" w:after="75" w:afterAutospacing="0"/>
      </w:pPr>
      <w:r>
        <w:rPr>
          <w:rFonts w:hint="eastAsia" w:ascii="宋体" w:hAnsi="宋体" w:eastAsia="宋体" w:cs="宋体"/>
          <w:lang w:eastAsia="zh-CN"/>
        </w:rPr>
        <w:t xml:space="preserve">    </w:t>
      </w:r>
      <w:r>
        <w:rPr>
          <w:rFonts w:hint="eastAsia" w:ascii="宋体" w:hAnsi="宋体" w:eastAsia="宋体" w:cs="宋体"/>
        </w:rPr>
        <w:t>6.7  商务条件</w:t>
      </w:r>
    </w:p>
    <w:p>
      <w:pPr>
        <w:pStyle w:val="5"/>
        <w:widowControl/>
        <w:spacing w:before="75" w:beforeAutospacing="0" w:after="75" w:afterAutospacing="0"/>
        <w:rPr>
          <w:rFonts w:hint="eastAsia" w:ascii="宋体" w:hAnsi="宋体" w:eastAsia="宋体" w:cs="宋体"/>
          <w:lang w:eastAsia="zh-CN"/>
        </w:rPr>
      </w:pPr>
      <w:r>
        <w:rPr>
          <w:rFonts w:hint="eastAsia" w:ascii="宋体" w:hAnsi="宋体" w:eastAsia="宋体" w:cs="宋体"/>
          <w:lang w:eastAsia="zh-CN"/>
        </w:rPr>
        <w:t xml:space="preserve">    (1)</w:t>
      </w:r>
      <w:r>
        <w:rPr>
          <w:rFonts w:hint="eastAsia" w:ascii="宋体" w:hAnsi="宋体" w:eastAsia="宋体" w:cs="宋体"/>
        </w:rPr>
        <w:t>交付地点：福建省宁德市中医院采购人指定地点</w:t>
      </w:r>
    </w:p>
    <w:p>
      <w:pPr>
        <w:pStyle w:val="5"/>
        <w:widowControl/>
        <w:spacing w:before="75" w:beforeAutospacing="0" w:after="75" w:afterAutospacing="0"/>
        <w:rPr>
          <w:rFonts w:hint="eastAsia" w:ascii="宋体" w:hAnsi="宋体" w:eastAsia="宋体" w:cs="宋体"/>
          <w:lang w:val="en-US" w:eastAsia="zh-CN"/>
        </w:rPr>
      </w:pPr>
      <w:r>
        <w:rPr>
          <w:rFonts w:hint="eastAsia" w:ascii="宋体" w:hAnsi="宋体" w:eastAsia="宋体" w:cs="宋体"/>
          <w:lang w:eastAsia="zh-CN"/>
        </w:rPr>
        <w:t xml:space="preserve">    (2)</w:t>
      </w:r>
      <w:r>
        <w:rPr>
          <w:rFonts w:hint="eastAsia" w:ascii="宋体" w:hAnsi="宋体" w:eastAsia="宋体" w:cs="宋体"/>
        </w:rPr>
        <w:t>交付时间：合同签订后</w:t>
      </w:r>
      <w:r>
        <w:rPr>
          <w:rFonts w:hint="eastAsia" w:ascii="宋体" w:hAnsi="宋体" w:eastAsia="宋体" w:cs="宋体"/>
          <w:color w:val="000000" w:themeColor="text1"/>
          <w:lang w:val="en-US" w:eastAsia="zh-CN"/>
          <w14:textFill>
            <w14:solidFill>
              <w14:schemeClr w14:val="tx1"/>
            </w14:solidFill>
          </w14:textFill>
        </w:rPr>
        <w:t>设备7</w:t>
      </w:r>
      <w:r>
        <w:rPr>
          <w:rFonts w:hint="eastAsia" w:ascii="宋体" w:hAnsi="宋体" w:eastAsia="宋体" w:cs="宋体"/>
          <w:color w:val="000000" w:themeColor="text1"/>
          <w14:textFill>
            <w14:solidFill>
              <w14:schemeClr w14:val="tx1"/>
            </w14:solidFill>
          </w14:textFill>
        </w:rPr>
        <w:t>天</w:t>
      </w:r>
      <w:r>
        <w:rPr>
          <w:rFonts w:hint="eastAsia" w:ascii="宋体" w:hAnsi="宋体" w:eastAsia="宋体" w:cs="宋体"/>
        </w:rPr>
        <w:t>内</w:t>
      </w:r>
      <w:r>
        <w:rPr>
          <w:rFonts w:hint="eastAsia" w:ascii="宋体" w:hAnsi="宋体" w:eastAsia="宋体" w:cs="宋体"/>
          <w:lang w:val="en-US" w:eastAsia="zh-CN"/>
        </w:rPr>
        <w:t>到位</w:t>
      </w:r>
      <w:bookmarkStart w:id="0" w:name="_GoBack"/>
      <w:bookmarkEnd w:id="0"/>
    </w:p>
    <w:p>
      <w:pPr>
        <w:pStyle w:val="5"/>
        <w:widowControl/>
        <w:spacing w:before="75" w:beforeAutospacing="0" w:after="75" w:afterAutospacing="0"/>
        <w:rPr>
          <w:rFonts w:hint="eastAsia" w:ascii="宋体" w:hAnsi="宋体" w:eastAsia="宋体" w:cs="宋体"/>
          <w:lang w:eastAsia="zh-CN"/>
        </w:rPr>
      </w:pPr>
      <w:r>
        <w:rPr>
          <w:rFonts w:hint="eastAsia" w:ascii="宋体" w:hAnsi="宋体" w:eastAsia="宋体" w:cs="宋体"/>
          <w:lang w:eastAsia="zh-CN"/>
        </w:rPr>
        <w:t xml:space="preserve">    (3)</w:t>
      </w:r>
      <w:r>
        <w:rPr>
          <w:rFonts w:hint="eastAsia" w:ascii="宋体" w:hAnsi="宋体" w:eastAsia="宋体" w:cs="宋体"/>
        </w:rPr>
        <w:t>交付条件：按要求验收合格后交付</w:t>
      </w:r>
    </w:p>
    <w:p>
      <w:pPr>
        <w:pStyle w:val="5"/>
        <w:widowControl/>
        <w:spacing w:before="75" w:beforeAutospacing="0" w:after="75" w:afterAutospacing="0"/>
        <w:rPr>
          <w:rFonts w:hint="eastAsia" w:ascii="宋体" w:hAnsi="宋体" w:eastAsia="宋体" w:cs="宋体"/>
          <w:lang w:eastAsia="zh-CN"/>
        </w:rPr>
      </w:pPr>
      <w:r>
        <w:rPr>
          <w:rFonts w:hint="eastAsia" w:ascii="宋体" w:hAnsi="宋体" w:eastAsia="宋体" w:cs="宋体"/>
          <w:lang w:eastAsia="zh-CN"/>
        </w:rPr>
        <w:t xml:space="preserve">    (4)</w:t>
      </w:r>
      <w:r>
        <w:rPr>
          <w:rFonts w:hint="eastAsia" w:ascii="宋体" w:hAnsi="宋体" w:eastAsia="宋体" w:cs="宋体"/>
        </w:rPr>
        <w:t>是否收取履约保证金：否</w:t>
      </w:r>
    </w:p>
    <w:p>
      <w:pPr>
        <w:pStyle w:val="5"/>
        <w:widowControl/>
        <w:spacing w:before="75" w:beforeAutospacing="0" w:after="75" w:afterAutospacing="0"/>
        <w:rPr>
          <w:rFonts w:hint="eastAsia" w:ascii="宋体" w:hAnsi="宋体" w:eastAsia="宋体" w:cs="宋体"/>
          <w:lang w:eastAsia="zh-CN"/>
        </w:rPr>
      </w:pPr>
      <w:r>
        <w:rPr>
          <w:rFonts w:hint="eastAsia" w:ascii="宋体" w:hAnsi="宋体" w:eastAsia="宋体" w:cs="宋体"/>
          <w:lang w:eastAsia="zh-CN"/>
        </w:rPr>
        <w:t xml:space="preserve">    (5)</w:t>
      </w:r>
      <w:r>
        <w:rPr>
          <w:rFonts w:hint="eastAsia" w:ascii="宋体" w:hAnsi="宋体" w:eastAsia="宋体" w:cs="宋体"/>
        </w:rPr>
        <w:t>是否邀请报价人参与验收：否</w:t>
      </w:r>
    </w:p>
    <w:p>
      <w:pPr>
        <w:pStyle w:val="5"/>
        <w:widowControl/>
        <w:spacing w:before="75" w:beforeAutospacing="0" w:after="75" w:afterAutospacing="0"/>
        <w:rPr>
          <w:rFonts w:ascii="微软雅黑" w:hAnsi="微软雅黑" w:eastAsia="微软雅黑" w:cs="微软雅黑"/>
          <w:sz w:val="27"/>
          <w:szCs w:val="27"/>
        </w:rPr>
      </w:pPr>
      <w:r>
        <w:rPr>
          <w:rFonts w:hint="eastAsia" w:ascii="宋体" w:hAnsi="宋体" w:eastAsia="宋体" w:cs="宋体"/>
          <w:lang w:eastAsia="zh-CN"/>
        </w:rPr>
        <w:t xml:space="preserve">    (6)</w:t>
      </w:r>
      <w:r>
        <w:rPr>
          <w:rFonts w:hint="eastAsia" w:ascii="宋体" w:hAnsi="宋体" w:eastAsia="宋体" w:cs="宋体"/>
        </w:rPr>
        <w:t>安装和调试</w:t>
      </w:r>
    </w:p>
    <w:p>
      <w:pPr>
        <w:pStyle w:val="5"/>
        <w:widowControl/>
        <w:spacing w:beforeAutospacing="0" w:afterAutospacing="0" w:line="555" w:lineRule="atLeast"/>
        <w:ind w:firstLine="480"/>
        <w:rPr>
          <w:rFonts w:ascii="微软雅黑" w:hAnsi="微软雅黑" w:eastAsia="微软雅黑" w:cs="微软雅黑"/>
          <w:sz w:val="27"/>
          <w:szCs w:val="27"/>
        </w:rPr>
      </w:pPr>
      <w:r>
        <w:rPr>
          <w:rFonts w:hint="eastAsia" w:ascii="宋体" w:hAnsi="宋体" w:eastAsia="宋体" w:cs="宋体"/>
        </w:rPr>
        <w:t>成交人应负责按所签订合同的具体要求、具体数量、具体地点将货物运送到采购人指 定地点并负责安装，安装并经最终验收合格后，交付采购人使用，成交人须在响应文件中详细列明所需各项费用。安装、调试所需工具、仪表及安装材料等均由成交人负责提供。成交人负责组织专业技术人员进行货物安装，采购人应提供必须的基本条件和专人配合，保证各项安装工作顺利进行。</w:t>
      </w:r>
    </w:p>
    <w:p>
      <w:pPr>
        <w:pStyle w:val="5"/>
        <w:widowControl/>
        <w:spacing w:line="555" w:lineRule="atLeast"/>
        <w:ind w:left="480"/>
        <w:rPr>
          <w:rFonts w:ascii="宋体" w:hAnsi="宋体" w:eastAsia="宋体" w:cs="宋体"/>
        </w:rPr>
      </w:pPr>
      <w:r>
        <w:rPr>
          <w:rFonts w:hint="eastAsia" w:ascii="宋体" w:hAnsi="宋体" w:eastAsia="宋体" w:cs="宋体"/>
          <w:lang w:eastAsia="zh-CN"/>
        </w:rPr>
        <w:t xml:space="preserve">    </w:t>
      </w: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质量保证期及维修服务。</w:t>
      </w:r>
      <w:r>
        <w:rPr>
          <w:rFonts w:hint="eastAsia" w:ascii="宋体" w:hAnsi="宋体" w:eastAsia="宋体" w:cs="宋体"/>
          <w:i w:val="0"/>
          <w:iCs w:val="0"/>
          <w:caps w:val="0"/>
          <w:color w:val="auto"/>
          <w:spacing w:val="0"/>
          <w:sz w:val="24"/>
          <w:szCs w:val="24"/>
          <w:lang w:val="en-US" w:eastAsia="zh-CN"/>
        </w:rPr>
        <w:t>本项目要求质保期为一年，供应商质保期为2年则评标价=实际报价*95%，供应商质保期为3年则评标价=实际报价*90%，最终合同签订以供应商实际报价为准。</w:t>
      </w:r>
      <w:r>
        <w:rPr>
          <w:rFonts w:hint="eastAsia" w:ascii="宋体" w:hAnsi="宋体" w:eastAsia="宋体" w:cs="宋体"/>
        </w:rPr>
        <w:t>免费质保期特指设备正常工作下出现的非主观原因导致的故障。若因第三方原因或者不可抗力因素导致设备故障，则维修产生的费用由业主方负责协调解决。免费保修期自设备整机验收合格之日起计算；</w:t>
      </w:r>
    </w:p>
    <w:p>
      <w:pPr>
        <w:pStyle w:val="5"/>
        <w:widowControl/>
        <w:shd w:val="clear" w:color="auto" w:fill="FFFFFF"/>
        <w:spacing w:before="105" w:beforeAutospacing="0" w:after="105" w:afterAutospacing="0" w:line="360" w:lineRule="atLeast"/>
        <w:rPr>
          <w:rFonts w:ascii="宋体" w:hAnsi="宋体" w:eastAsia="宋体" w:cs="宋体"/>
        </w:rPr>
      </w:pPr>
      <w:r>
        <w:rPr>
          <w:rFonts w:hint="eastAsia" w:ascii="宋体" w:hAnsi="宋体" w:eastAsia="宋体" w:cs="宋体"/>
          <w:lang w:eastAsia="zh-CN"/>
        </w:rPr>
        <w:t xml:space="preserve">     8.</w:t>
      </w:r>
      <w:r>
        <w:rPr>
          <w:rFonts w:hint="eastAsia" w:ascii="宋体" w:hAnsi="宋体" w:eastAsia="宋体" w:cs="宋体"/>
        </w:rPr>
        <w:t>故障响应时间：产品生产厂家在国内设有正规维修站，福建省内有常驻工程技术人员，确保仪器运行正常（列出维修公司地址、人员名单及联系电话）。  </w:t>
      </w:r>
    </w:p>
    <w:p>
      <w:pPr>
        <w:pStyle w:val="5"/>
        <w:widowControl/>
        <w:numPr>
          <w:ilvl w:val="0"/>
          <w:numId w:val="1"/>
        </w:numPr>
        <w:shd w:val="clear" w:color="auto" w:fill="FFFFFF"/>
        <w:spacing w:before="105" w:beforeAutospacing="0" w:after="105" w:afterAutospacing="0" w:line="360" w:lineRule="atLeast"/>
        <w:ind w:firstLine="480"/>
        <w:rPr>
          <w:rFonts w:ascii="宋体" w:hAnsi="宋体" w:eastAsia="宋体" w:cs="宋体"/>
        </w:rPr>
      </w:pPr>
      <w:r>
        <w:rPr>
          <w:rFonts w:hint="eastAsia" w:ascii="宋体" w:hAnsi="宋体" w:eastAsia="宋体" w:cs="宋体"/>
        </w:rPr>
        <w:t>在质量保证期内设备运行发生故障时，供 应商在接到采购人故障通知后须给予明确的答复，并在 24 小时内应委派专业技术人员到现场免费提供咨询、维修和更换零部件等服务，并及时填写维修报告（包括故障原因、处理情况及买方意见等）报采购人备案，若 48小时内无法排除故障，则应先提供同 档 次备用机供采购人使用。其中发生一切费用由供 应商承担。保修期内如同一故障发生三次，或在2月内无法修复，供 应商无条件换货，立即更换新机，如保修期内因故障停机，按停机时间的双倍顺延保修期。  </w:t>
      </w:r>
    </w:p>
    <w:p>
      <w:pPr>
        <w:pStyle w:val="5"/>
        <w:widowControl/>
        <w:numPr>
          <w:ilvl w:val="0"/>
          <w:numId w:val="1"/>
        </w:numPr>
        <w:shd w:val="clear" w:color="auto" w:fill="FFFFFF"/>
        <w:spacing w:before="105" w:beforeAutospacing="0" w:after="105" w:afterAutospacing="0" w:line="360" w:lineRule="atLeast"/>
        <w:ind w:firstLine="480"/>
        <w:rPr>
          <w:rFonts w:ascii="宋体" w:hAnsi="宋体" w:eastAsia="宋体" w:cs="宋体"/>
        </w:rPr>
      </w:pPr>
      <w:r>
        <w:rPr>
          <w:rFonts w:hint="eastAsia" w:ascii="宋体" w:hAnsi="宋体" w:eastAsia="宋体" w:cs="宋体"/>
        </w:rPr>
        <w:t>免费保修即将到期前，供 应商需对设备做全面巡检保养，保证设备的正常工作状态，并完成巡检报告交采购人存档。  </w:t>
      </w:r>
    </w:p>
    <w:p>
      <w:pPr>
        <w:pStyle w:val="5"/>
        <w:widowControl/>
        <w:numPr>
          <w:ilvl w:val="0"/>
          <w:numId w:val="1"/>
        </w:numPr>
        <w:shd w:val="clear" w:color="auto" w:fill="FFFFFF"/>
        <w:spacing w:before="105" w:beforeAutospacing="0" w:after="105" w:afterAutospacing="0" w:line="360" w:lineRule="atLeast"/>
        <w:ind w:firstLine="480"/>
        <w:rPr>
          <w:rFonts w:ascii="宋体" w:hAnsi="宋体" w:eastAsia="宋体" w:cs="宋体"/>
        </w:rPr>
      </w:pPr>
      <w:r>
        <w:rPr>
          <w:rFonts w:hint="eastAsia" w:ascii="宋体" w:hAnsi="宋体" w:eastAsia="宋体" w:cs="宋体"/>
        </w:rPr>
        <w:t xml:space="preserve">保修期满后供应商负责仪器的终身维修并应继续提供优惠、优质的服务，报修响应时间1小时，到场时间5小时。储备足够的零配件备库，并以小于报价80%的折扣率予以优惠供应维修零配件。消耗品的供应应由双方另设协议决定。列出消耗品价格清单并保证二年不变，以后如有变化，每年幅度不超过5%。产品免费提供终身的软件升级,提供硬件升级折扣，投标价一年内有效。   </w:t>
      </w:r>
    </w:p>
    <w:p>
      <w:pPr>
        <w:pStyle w:val="5"/>
        <w:widowControl/>
        <w:shd w:val="clear" w:color="auto" w:fill="FFFFFF"/>
        <w:spacing w:before="105" w:beforeAutospacing="0" w:after="105" w:afterAutospacing="0" w:line="360" w:lineRule="atLeast"/>
        <w:ind w:firstLine="480" w:firstLineChars="200"/>
        <w:rPr>
          <w:rStyle w:val="8"/>
          <w:rFonts w:ascii="宋体" w:hAnsi="宋体" w:eastAsia="宋体" w:cs="宋体"/>
          <w:sz w:val="27"/>
          <w:szCs w:val="27"/>
          <w:shd w:val="clear" w:color="auto" w:fill="FFFFFF"/>
        </w:rPr>
      </w:pPr>
      <w:r>
        <w:rPr>
          <w:rFonts w:hint="eastAsia" w:ascii="宋体" w:hAnsi="宋体" w:eastAsia="宋体" w:cs="宋体"/>
        </w:rPr>
        <w:t>d.免费开放端口，可实现与医院相关系统的无缝衔接。软件系统可实现本地化部署。 </w:t>
      </w:r>
      <w:r>
        <w:rPr>
          <w:rStyle w:val="8"/>
          <w:rFonts w:hint="eastAsia" w:ascii="宋体" w:hAnsi="宋体" w:eastAsia="宋体" w:cs="宋体"/>
          <w:sz w:val="27"/>
          <w:szCs w:val="27"/>
          <w:shd w:val="clear" w:color="auto" w:fill="FFFFFF"/>
        </w:rPr>
        <w:t> </w:t>
      </w:r>
    </w:p>
    <w:p>
      <w:pPr>
        <w:pStyle w:val="5"/>
        <w:widowControl/>
        <w:shd w:val="clear" w:color="auto" w:fill="FFFFFF"/>
        <w:spacing w:before="105" w:beforeAutospacing="0" w:after="105" w:afterAutospacing="0" w:line="360" w:lineRule="atLeast"/>
        <w:ind w:firstLine="480"/>
        <w:rPr>
          <w:rFonts w:ascii="微软雅黑" w:hAnsi="微软雅黑" w:eastAsia="微软雅黑" w:cs="微软雅黑"/>
          <w:sz w:val="27"/>
          <w:szCs w:val="27"/>
        </w:rPr>
      </w:pPr>
      <w:r>
        <w:rPr>
          <w:rStyle w:val="8"/>
          <w:rFonts w:hint="eastAsia" w:ascii="宋体" w:hAnsi="宋体" w:eastAsia="宋体" w:cs="宋体"/>
          <w:sz w:val="27"/>
          <w:szCs w:val="27"/>
          <w:shd w:val="clear" w:color="auto" w:fill="FFFFFF"/>
          <w:lang w:eastAsia="zh-CN"/>
        </w:rPr>
        <w:t>9.</w:t>
      </w:r>
      <w:r>
        <w:rPr>
          <w:rStyle w:val="8"/>
          <w:rFonts w:hint="eastAsia" w:ascii="宋体" w:hAnsi="宋体" w:eastAsia="宋体" w:cs="宋体"/>
          <w:sz w:val="27"/>
          <w:szCs w:val="27"/>
          <w:shd w:val="clear" w:color="auto" w:fill="FFFFFF"/>
        </w:rPr>
        <w:t>违约责任</w:t>
      </w:r>
    </w:p>
    <w:p>
      <w:pPr>
        <w:pStyle w:val="5"/>
        <w:widowControl/>
        <w:shd w:val="clear" w:color="auto" w:fill="FFFFFF"/>
        <w:spacing w:beforeAutospacing="0" w:afterAutospacing="0" w:line="360" w:lineRule="auto"/>
        <w:ind w:firstLine="480" w:firstLineChars="200"/>
        <w:rPr>
          <w:rFonts w:ascii="微软雅黑" w:hAnsi="微软雅黑" w:eastAsia="微软雅黑" w:cs="微软雅黑"/>
          <w:sz w:val="27"/>
          <w:szCs w:val="27"/>
        </w:rPr>
      </w:pPr>
      <w:r>
        <w:rPr>
          <w:rFonts w:hint="eastAsia" w:ascii="宋体" w:hAnsi="宋体" w:eastAsia="宋体" w:cs="宋体"/>
          <w:shd w:val="clear" w:color="auto" w:fill="FFFFFF"/>
        </w:rPr>
        <w:t>因报价人原因造成采购供货合同无法按时签订，视为报价人违约，违约对采购人造成的损失的，报价人需支付相应的赔偿。</w:t>
      </w:r>
    </w:p>
    <w:p>
      <w:pPr>
        <w:pStyle w:val="5"/>
        <w:widowControl/>
        <w:shd w:val="clear" w:color="auto" w:fill="FFFFFF"/>
        <w:spacing w:beforeAutospacing="0" w:afterAutospacing="0" w:line="360" w:lineRule="auto"/>
        <w:ind w:firstLine="480" w:firstLineChars="200"/>
        <w:rPr>
          <w:rFonts w:ascii="微软雅黑" w:hAnsi="微软雅黑" w:eastAsia="微软雅黑" w:cs="微软雅黑"/>
          <w:sz w:val="27"/>
          <w:szCs w:val="27"/>
        </w:rPr>
      </w:pPr>
      <w:r>
        <w:rPr>
          <w:rFonts w:hint="eastAsia" w:ascii="宋体" w:hAnsi="宋体" w:eastAsia="宋体" w:cs="宋体"/>
          <w:shd w:val="clear" w:color="auto" w:fill="FFFFFF"/>
        </w:rPr>
        <w:t>在签定采购供货合同之后，报价人要求解除合同的，视为报价人违约，违约对采购人造成的损失的，报价人需支付相应的赔偿。</w:t>
      </w:r>
    </w:p>
    <w:p>
      <w:pPr>
        <w:pStyle w:val="5"/>
        <w:widowControl/>
        <w:shd w:val="clear" w:color="auto" w:fill="FFFFFF"/>
        <w:spacing w:beforeAutospacing="0" w:afterAutospacing="0" w:line="360" w:lineRule="auto"/>
        <w:ind w:firstLine="480" w:firstLineChars="200"/>
        <w:rPr>
          <w:rFonts w:ascii="微软雅黑" w:hAnsi="微软雅黑" w:eastAsia="微软雅黑" w:cs="微软雅黑"/>
          <w:sz w:val="27"/>
          <w:szCs w:val="27"/>
        </w:rPr>
      </w:pPr>
      <w:r>
        <w:rPr>
          <w:rFonts w:hint="eastAsia" w:ascii="宋体" w:hAnsi="宋体" w:eastAsia="宋体" w:cs="宋体"/>
          <w:shd w:val="clear" w:color="auto" w:fill="FFFFFF"/>
        </w:rPr>
        <w:t>因报价人原因发生重大质量事故，除依约承担赔偿责任外，还将按有关质量管理办法规定执行。同时，采购人有权保留更换报价人的权利，并报相关行政主管部门处罚。</w:t>
      </w:r>
    </w:p>
    <w:p>
      <w:pPr>
        <w:pStyle w:val="5"/>
        <w:widowControl/>
        <w:shd w:val="clear" w:color="auto" w:fill="FFFFFF"/>
        <w:spacing w:beforeAutospacing="0" w:afterAutospacing="0" w:line="360" w:lineRule="auto"/>
        <w:ind w:firstLine="480" w:firstLineChars="200"/>
        <w:rPr>
          <w:rFonts w:ascii="微软雅黑" w:hAnsi="微软雅黑" w:eastAsia="微软雅黑" w:cs="微软雅黑"/>
          <w:sz w:val="27"/>
          <w:szCs w:val="27"/>
        </w:rPr>
      </w:pPr>
      <w:r>
        <w:rPr>
          <w:rFonts w:hint="eastAsia" w:ascii="宋体" w:hAnsi="宋体" w:eastAsia="宋体" w:cs="宋体"/>
          <w:shd w:val="clear" w:color="auto" w:fill="FFFFFF"/>
        </w:rPr>
        <w:t>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报价人的权利，给采购人造成的损失，还应承担赔偿责任。</w:t>
      </w:r>
    </w:p>
    <w:p>
      <w:pPr>
        <w:pStyle w:val="5"/>
        <w:widowControl/>
        <w:spacing w:beforeAutospacing="0" w:afterAutospacing="0" w:line="360" w:lineRule="auto"/>
        <w:ind w:firstLine="480" w:firstLineChars="200"/>
        <w:rPr>
          <w:rFonts w:ascii="微软雅黑" w:hAnsi="微软雅黑" w:eastAsia="微软雅黑" w:cs="微软雅黑"/>
          <w:sz w:val="27"/>
          <w:szCs w:val="27"/>
        </w:rPr>
      </w:pPr>
      <w:r>
        <w:rPr>
          <w:rFonts w:hint="eastAsia" w:ascii="宋体" w:hAnsi="宋体" w:eastAsia="宋体" w:cs="宋体"/>
          <w:shd w:val="clear" w:color="auto" w:fill="FFFFFF"/>
        </w:rPr>
        <w:t>在明确违约责任后，报价人应在接到书面通知书起七天内支付违约金、赔偿金等。</w:t>
      </w:r>
    </w:p>
    <w:p>
      <w:pPr>
        <w:pStyle w:val="5"/>
        <w:widowControl/>
        <w:spacing w:before="75" w:beforeAutospacing="0" w:after="75" w:afterAutospacing="0"/>
      </w:pPr>
      <w:r>
        <w:rPr>
          <w:rFonts w:hint="eastAsia" w:cstheme="minorBidi"/>
          <w:kern w:val="2"/>
          <w:sz w:val="21"/>
        </w:rPr>
        <w:t xml:space="preserve">    </w:t>
      </w:r>
      <w:r>
        <w:rPr>
          <w:rFonts w:hint="eastAsia" w:cstheme="minorBidi"/>
          <w:kern w:val="2"/>
          <w:sz w:val="21"/>
          <w:lang w:eastAsia="zh-CN"/>
        </w:rPr>
        <w:t>10.</w:t>
      </w:r>
      <w:r>
        <w:rPr>
          <w:rFonts w:hint="eastAsia" w:ascii="宋体" w:hAnsi="宋体" w:eastAsia="宋体" w:cs="宋体"/>
        </w:rPr>
        <w:t>其他事项</w:t>
      </w:r>
    </w:p>
    <w:p>
      <w:pPr>
        <w:pStyle w:val="5"/>
        <w:widowControl/>
        <w:spacing w:before="75" w:beforeAutospacing="0" w:after="75" w:afterAutospacing="0"/>
      </w:pPr>
      <w:r>
        <w:rPr>
          <w:rFonts w:hint="eastAsia" w:ascii="宋体" w:hAnsi="宋体" w:eastAsia="宋体" w:cs="宋体"/>
          <w:sz w:val="28"/>
          <w:szCs w:val="28"/>
        </w:rPr>
        <w:t> </w:t>
      </w:r>
      <w:r>
        <w:rPr>
          <w:rStyle w:val="8"/>
          <w:rFonts w:hint="eastAsia" w:ascii="宋体" w:hAnsi="宋体" w:eastAsia="宋体" w:cs="宋体"/>
          <w:sz w:val="36"/>
          <w:szCs w:val="36"/>
        </w:rPr>
        <w:t>   报价一览表</w:t>
      </w:r>
    </w:p>
    <w:p>
      <w:pPr>
        <w:pStyle w:val="5"/>
        <w:widowControl/>
        <w:spacing w:before="75" w:beforeAutospacing="0" w:after="75" w:afterAutospacing="0" w:line="375" w:lineRule="atLeast"/>
      </w:pPr>
      <w:r>
        <w:rPr>
          <w:rFonts w:hint="eastAsia" w:ascii="宋体" w:hAnsi="宋体" w:eastAsia="宋体" w:cs="宋体"/>
        </w:rPr>
        <w:t> </w:t>
      </w:r>
    </w:p>
    <w:p>
      <w:pPr>
        <w:pStyle w:val="5"/>
        <w:widowControl/>
        <w:spacing w:before="75" w:beforeAutospacing="0" w:after="75" w:afterAutospacing="0" w:line="375" w:lineRule="atLeast"/>
      </w:pPr>
      <w:r>
        <w:rPr>
          <w:rFonts w:hint="eastAsia" w:ascii="宋体" w:hAnsi="宋体" w:eastAsia="宋体" w:cs="宋体"/>
        </w:rPr>
        <w:t>供应商名称：（全称加盖单位公章）项目编号∶          货币单位：元人民币</w:t>
      </w:r>
    </w:p>
    <w:tbl>
      <w:tblPr>
        <w:tblStyle w:val="6"/>
        <w:tblW w:w="7759"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65"/>
        <w:gridCol w:w="3699"/>
        <w:gridCol w:w="17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65" w:type="dxa"/>
            <w:shd w:val="clear" w:color="auto" w:fill="auto"/>
            <w:tcMar>
              <w:top w:w="0" w:type="dxa"/>
              <w:left w:w="105" w:type="dxa"/>
              <w:bottom w:w="0" w:type="dxa"/>
              <w:right w:w="105" w:type="dxa"/>
            </w:tcMar>
            <w:vAlign w:val="center"/>
          </w:tcPr>
          <w:p>
            <w:pPr>
              <w:pStyle w:val="5"/>
              <w:widowControl/>
              <w:spacing w:beforeAutospacing="0" w:afterAutospacing="0" w:line="465" w:lineRule="atLeast"/>
            </w:pPr>
            <w:r>
              <w:rPr>
                <w:rFonts w:hint="eastAsia" w:ascii="宋体" w:hAnsi="宋体" w:eastAsia="宋体" w:cs="宋体"/>
              </w:rPr>
              <w:t>合同包</w:t>
            </w:r>
          </w:p>
        </w:tc>
        <w:tc>
          <w:tcPr>
            <w:tcW w:w="3699" w:type="dxa"/>
            <w:shd w:val="clear" w:color="auto" w:fill="auto"/>
            <w:tcMar>
              <w:top w:w="0" w:type="dxa"/>
              <w:left w:w="105" w:type="dxa"/>
              <w:bottom w:w="0" w:type="dxa"/>
              <w:right w:w="105" w:type="dxa"/>
            </w:tcMar>
            <w:vAlign w:val="center"/>
          </w:tcPr>
          <w:p>
            <w:pPr>
              <w:pStyle w:val="5"/>
              <w:widowControl/>
              <w:spacing w:beforeAutospacing="0" w:afterAutospacing="0" w:line="465" w:lineRule="atLeast"/>
            </w:pPr>
            <w:r>
              <w:rPr>
                <w:rFonts w:hint="eastAsia" w:ascii="宋体" w:hAnsi="宋体" w:eastAsia="宋体" w:cs="宋体"/>
              </w:rPr>
              <w:t>首次报价</w:t>
            </w:r>
          </w:p>
        </w:tc>
        <w:tc>
          <w:tcPr>
            <w:tcW w:w="1797" w:type="dxa"/>
            <w:shd w:val="clear" w:color="auto" w:fill="auto"/>
            <w:tcMar>
              <w:top w:w="0" w:type="dxa"/>
              <w:left w:w="105" w:type="dxa"/>
              <w:bottom w:w="0" w:type="dxa"/>
              <w:right w:w="105" w:type="dxa"/>
            </w:tcMar>
            <w:vAlign w:val="center"/>
          </w:tcPr>
          <w:p>
            <w:pPr>
              <w:pStyle w:val="5"/>
              <w:widowControl/>
              <w:spacing w:beforeAutospacing="0" w:afterAutospacing="0" w:line="465" w:lineRule="atLeast"/>
            </w:pPr>
            <w:r>
              <w:rPr>
                <w:rFonts w:hint="eastAsia" w:ascii="宋体" w:hAnsi="宋体" w:eastAsia="宋体" w:cs="宋体"/>
              </w:rPr>
              <w:t>交货期/工期/项目完成时间/服务时间</w:t>
            </w:r>
          </w:p>
        </w:tc>
        <w:tc>
          <w:tcPr>
            <w:tcW w:w="1198" w:type="dxa"/>
            <w:shd w:val="clear" w:color="auto" w:fill="auto"/>
            <w:tcMar>
              <w:top w:w="0" w:type="dxa"/>
              <w:left w:w="105" w:type="dxa"/>
              <w:bottom w:w="0" w:type="dxa"/>
              <w:right w:w="105" w:type="dxa"/>
            </w:tcMar>
            <w:vAlign w:val="center"/>
          </w:tcPr>
          <w:p>
            <w:pPr>
              <w:pStyle w:val="5"/>
              <w:widowControl/>
              <w:spacing w:beforeAutospacing="0" w:afterAutospacing="0" w:line="465" w:lineRule="atLeast"/>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65" w:type="dxa"/>
            <w:shd w:val="clear" w:color="auto" w:fill="auto"/>
            <w:tcMar>
              <w:top w:w="0" w:type="dxa"/>
              <w:left w:w="105" w:type="dxa"/>
              <w:bottom w:w="0" w:type="dxa"/>
              <w:right w:w="105" w:type="dxa"/>
            </w:tcMar>
            <w:vAlign w:val="center"/>
          </w:tcPr>
          <w:p>
            <w:pPr>
              <w:pStyle w:val="5"/>
              <w:widowControl/>
              <w:spacing w:beforeAutospacing="0" w:afterAutospacing="0" w:line="465" w:lineRule="atLeast"/>
            </w:pPr>
            <w:r>
              <w:rPr>
                <w:rFonts w:hint="eastAsia" w:ascii="宋体" w:hAnsi="宋体" w:eastAsia="宋体" w:cs="宋体"/>
                <w:sz w:val="21"/>
                <w:szCs w:val="21"/>
              </w:rPr>
              <w:t>*</w:t>
            </w:r>
          </w:p>
        </w:tc>
        <w:tc>
          <w:tcPr>
            <w:tcW w:w="3699" w:type="dxa"/>
            <w:shd w:val="clear" w:color="auto" w:fill="auto"/>
            <w:tcMar>
              <w:top w:w="0" w:type="dxa"/>
              <w:left w:w="105" w:type="dxa"/>
              <w:bottom w:w="0" w:type="dxa"/>
              <w:right w:w="105" w:type="dxa"/>
            </w:tcMar>
            <w:vAlign w:val="center"/>
          </w:tcPr>
          <w:p>
            <w:pPr>
              <w:widowControl/>
              <w:jc w:val="left"/>
            </w:pPr>
          </w:p>
        </w:tc>
        <w:tc>
          <w:tcPr>
            <w:tcW w:w="1797" w:type="dxa"/>
            <w:shd w:val="clear" w:color="auto" w:fill="auto"/>
            <w:tcMar>
              <w:top w:w="0" w:type="dxa"/>
              <w:left w:w="105" w:type="dxa"/>
              <w:bottom w:w="0" w:type="dxa"/>
              <w:right w:w="105" w:type="dxa"/>
            </w:tcMar>
            <w:vAlign w:val="center"/>
          </w:tcPr>
          <w:p>
            <w:pPr>
              <w:widowControl/>
              <w:jc w:val="left"/>
            </w:pPr>
          </w:p>
        </w:tc>
        <w:tc>
          <w:tcPr>
            <w:tcW w:w="1198"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65" w:type="dxa"/>
            <w:shd w:val="clear" w:color="auto" w:fill="auto"/>
            <w:tcMar>
              <w:top w:w="0" w:type="dxa"/>
              <w:left w:w="105" w:type="dxa"/>
              <w:bottom w:w="0" w:type="dxa"/>
              <w:right w:w="105" w:type="dxa"/>
            </w:tcMar>
            <w:vAlign w:val="center"/>
          </w:tcPr>
          <w:p>
            <w:pPr>
              <w:pStyle w:val="5"/>
              <w:widowControl/>
              <w:spacing w:beforeAutospacing="0" w:afterAutospacing="0" w:line="465" w:lineRule="atLeast"/>
            </w:pPr>
            <w:r>
              <w:rPr>
                <w:rFonts w:ascii="Calibri" w:hAnsi="Calibri" w:cs="Calibri"/>
                <w:sz w:val="21"/>
                <w:szCs w:val="21"/>
              </w:rPr>
              <w:t>…</w:t>
            </w:r>
          </w:p>
        </w:tc>
        <w:tc>
          <w:tcPr>
            <w:tcW w:w="3699" w:type="dxa"/>
            <w:shd w:val="clear" w:color="auto" w:fill="auto"/>
            <w:tcMar>
              <w:top w:w="0" w:type="dxa"/>
              <w:left w:w="105" w:type="dxa"/>
              <w:bottom w:w="0" w:type="dxa"/>
              <w:right w:w="105" w:type="dxa"/>
            </w:tcMar>
            <w:vAlign w:val="center"/>
          </w:tcPr>
          <w:p>
            <w:pPr>
              <w:widowControl/>
              <w:jc w:val="left"/>
            </w:pPr>
          </w:p>
        </w:tc>
        <w:tc>
          <w:tcPr>
            <w:tcW w:w="1797" w:type="dxa"/>
            <w:shd w:val="clear" w:color="auto" w:fill="auto"/>
            <w:tcMar>
              <w:top w:w="0" w:type="dxa"/>
              <w:left w:w="105" w:type="dxa"/>
              <w:bottom w:w="0" w:type="dxa"/>
              <w:right w:w="105" w:type="dxa"/>
            </w:tcMar>
            <w:vAlign w:val="center"/>
          </w:tcPr>
          <w:p>
            <w:pPr>
              <w:widowControl/>
              <w:jc w:val="left"/>
            </w:pPr>
          </w:p>
        </w:tc>
        <w:tc>
          <w:tcPr>
            <w:tcW w:w="1198"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65" w:type="dxa"/>
            <w:shd w:val="clear" w:color="auto" w:fill="auto"/>
            <w:tcMar>
              <w:top w:w="0" w:type="dxa"/>
              <w:left w:w="105" w:type="dxa"/>
              <w:bottom w:w="0" w:type="dxa"/>
              <w:right w:w="105" w:type="dxa"/>
            </w:tcMar>
            <w:vAlign w:val="center"/>
          </w:tcPr>
          <w:p>
            <w:pPr>
              <w:pStyle w:val="5"/>
              <w:widowControl/>
              <w:spacing w:beforeAutospacing="0" w:afterAutospacing="0" w:line="465" w:lineRule="atLeast"/>
            </w:pPr>
            <w:r>
              <w:rPr>
                <w:rFonts w:ascii="Calibri" w:hAnsi="Calibri" w:cs="Calibri"/>
                <w:sz w:val="21"/>
                <w:szCs w:val="21"/>
              </w:rPr>
              <w:t>…</w:t>
            </w:r>
          </w:p>
        </w:tc>
        <w:tc>
          <w:tcPr>
            <w:tcW w:w="3699" w:type="dxa"/>
            <w:shd w:val="clear" w:color="auto" w:fill="auto"/>
            <w:tcMar>
              <w:top w:w="0" w:type="dxa"/>
              <w:left w:w="105" w:type="dxa"/>
              <w:bottom w:w="0" w:type="dxa"/>
              <w:right w:w="105" w:type="dxa"/>
            </w:tcMar>
            <w:vAlign w:val="center"/>
          </w:tcPr>
          <w:p>
            <w:pPr>
              <w:widowControl/>
              <w:jc w:val="left"/>
            </w:pPr>
          </w:p>
        </w:tc>
        <w:tc>
          <w:tcPr>
            <w:tcW w:w="1797" w:type="dxa"/>
            <w:shd w:val="clear" w:color="auto" w:fill="auto"/>
            <w:tcMar>
              <w:top w:w="0" w:type="dxa"/>
              <w:left w:w="105" w:type="dxa"/>
              <w:bottom w:w="0" w:type="dxa"/>
              <w:right w:w="105" w:type="dxa"/>
            </w:tcMar>
            <w:vAlign w:val="center"/>
          </w:tcPr>
          <w:p>
            <w:pPr>
              <w:widowControl/>
              <w:jc w:val="left"/>
            </w:pPr>
          </w:p>
        </w:tc>
        <w:tc>
          <w:tcPr>
            <w:tcW w:w="1198"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65" w:type="dxa"/>
            <w:shd w:val="clear" w:color="auto" w:fill="auto"/>
            <w:tcMar>
              <w:top w:w="0" w:type="dxa"/>
              <w:left w:w="105" w:type="dxa"/>
              <w:bottom w:w="0" w:type="dxa"/>
              <w:right w:w="105" w:type="dxa"/>
            </w:tcMar>
            <w:vAlign w:val="center"/>
          </w:tcPr>
          <w:p>
            <w:pPr>
              <w:pStyle w:val="5"/>
              <w:widowControl/>
              <w:spacing w:beforeAutospacing="0" w:afterAutospacing="0" w:line="465" w:lineRule="atLeast"/>
            </w:pPr>
            <w:r>
              <w:rPr>
                <w:rFonts w:ascii="Calibri" w:hAnsi="Calibri" w:cs="Calibri"/>
                <w:sz w:val="21"/>
                <w:szCs w:val="21"/>
              </w:rPr>
              <w:t>…</w:t>
            </w:r>
          </w:p>
        </w:tc>
        <w:tc>
          <w:tcPr>
            <w:tcW w:w="3699" w:type="dxa"/>
            <w:shd w:val="clear" w:color="auto" w:fill="auto"/>
            <w:tcMar>
              <w:top w:w="0" w:type="dxa"/>
              <w:left w:w="105" w:type="dxa"/>
              <w:bottom w:w="0" w:type="dxa"/>
              <w:right w:w="105" w:type="dxa"/>
            </w:tcMar>
            <w:vAlign w:val="center"/>
          </w:tcPr>
          <w:p>
            <w:pPr>
              <w:widowControl/>
              <w:jc w:val="left"/>
            </w:pPr>
          </w:p>
        </w:tc>
        <w:tc>
          <w:tcPr>
            <w:tcW w:w="1797" w:type="dxa"/>
            <w:shd w:val="clear" w:color="auto" w:fill="auto"/>
            <w:tcMar>
              <w:top w:w="0" w:type="dxa"/>
              <w:left w:w="105" w:type="dxa"/>
              <w:bottom w:w="0" w:type="dxa"/>
              <w:right w:w="105" w:type="dxa"/>
            </w:tcMar>
            <w:vAlign w:val="center"/>
          </w:tcPr>
          <w:p>
            <w:pPr>
              <w:widowControl/>
              <w:jc w:val="left"/>
            </w:pPr>
          </w:p>
        </w:tc>
        <w:tc>
          <w:tcPr>
            <w:tcW w:w="1198"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65" w:type="dxa"/>
            <w:shd w:val="clear" w:color="auto" w:fill="auto"/>
            <w:tcMar>
              <w:top w:w="0" w:type="dxa"/>
              <w:left w:w="105" w:type="dxa"/>
              <w:bottom w:w="0" w:type="dxa"/>
              <w:right w:w="105" w:type="dxa"/>
            </w:tcMar>
            <w:vAlign w:val="center"/>
          </w:tcPr>
          <w:p>
            <w:pPr>
              <w:pStyle w:val="5"/>
              <w:widowControl/>
              <w:spacing w:beforeAutospacing="0" w:afterAutospacing="0" w:line="465" w:lineRule="atLeast"/>
            </w:pPr>
            <w:r>
              <w:rPr>
                <w:rFonts w:ascii="Calibri" w:hAnsi="Calibri" w:cs="Calibri"/>
                <w:sz w:val="21"/>
                <w:szCs w:val="21"/>
              </w:rPr>
              <w:t>…</w:t>
            </w:r>
          </w:p>
        </w:tc>
        <w:tc>
          <w:tcPr>
            <w:tcW w:w="3699" w:type="dxa"/>
            <w:shd w:val="clear" w:color="auto" w:fill="auto"/>
            <w:tcMar>
              <w:top w:w="0" w:type="dxa"/>
              <w:left w:w="105" w:type="dxa"/>
              <w:bottom w:w="0" w:type="dxa"/>
              <w:right w:w="105" w:type="dxa"/>
            </w:tcMar>
            <w:vAlign w:val="center"/>
          </w:tcPr>
          <w:p>
            <w:pPr>
              <w:widowControl/>
              <w:jc w:val="left"/>
            </w:pPr>
          </w:p>
        </w:tc>
        <w:tc>
          <w:tcPr>
            <w:tcW w:w="1797" w:type="dxa"/>
            <w:shd w:val="clear" w:color="auto" w:fill="auto"/>
            <w:tcMar>
              <w:top w:w="0" w:type="dxa"/>
              <w:left w:w="105" w:type="dxa"/>
              <w:bottom w:w="0" w:type="dxa"/>
              <w:right w:w="105" w:type="dxa"/>
            </w:tcMar>
            <w:vAlign w:val="center"/>
          </w:tcPr>
          <w:p>
            <w:pPr>
              <w:widowControl/>
              <w:jc w:val="left"/>
            </w:pPr>
          </w:p>
        </w:tc>
        <w:tc>
          <w:tcPr>
            <w:tcW w:w="1198" w:type="dxa"/>
            <w:shd w:val="clear" w:color="auto" w:fill="auto"/>
            <w:tcMar>
              <w:top w:w="0" w:type="dxa"/>
              <w:left w:w="105" w:type="dxa"/>
              <w:bottom w:w="0" w:type="dxa"/>
              <w:right w:w="105" w:type="dxa"/>
            </w:tcMar>
            <w:vAlign w:val="center"/>
          </w:tcPr>
          <w:p>
            <w:pPr>
              <w:widowControl/>
              <w:jc w:val="left"/>
            </w:pPr>
          </w:p>
        </w:tc>
      </w:tr>
    </w:tbl>
    <w:p>
      <w:pPr>
        <w:pStyle w:val="5"/>
        <w:widowControl/>
        <w:spacing w:before="75" w:beforeAutospacing="0" w:after="75" w:afterAutospacing="0"/>
      </w:pPr>
      <w:r>
        <w:rPr>
          <w:rFonts w:hint="eastAsia" w:ascii="宋体" w:hAnsi="宋体" w:eastAsia="宋体" w:cs="宋体"/>
        </w:rPr>
        <w:t> </w:t>
      </w:r>
    </w:p>
    <w:p>
      <w:pPr>
        <w:pStyle w:val="5"/>
        <w:widowControl/>
        <w:spacing w:before="75" w:beforeAutospacing="0" w:after="75" w:afterAutospacing="0"/>
      </w:pPr>
      <w:r>
        <w:rPr>
          <w:rFonts w:hint="eastAsia" w:ascii="宋体" w:hAnsi="宋体" w:eastAsia="宋体" w:cs="宋体"/>
        </w:rPr>
        <w:t>备注：详细报价书另纸详列，格式自拟。</w:t>
      </w:r>
    </w:p>
    <w:p>
      <w:pPr>
        <w:pStyle w:val="5"/>
        <w:widowControl/>
        <w:spacing w:before="75" w:beforeAutospacing="0" w:after="75" w:afterAutospacing="0" w:line="375" w:lineRule="atLeast"/>
      </w:pPr>
      <w:r>
        <w:rPr>
          <w:rFonts w:hint="eastAsia" w:ascii="宋体" w:hAnsi="宋体" w:eastAsia="宋体" w:cs="宋体"/>
          <w:sz w:val="21"/>
          <w:szCs w:val="21"/>
        </w:rPr>
        <w:t>                                                                            </w:t>
      </w:r>
      <w:r>
        <w:rPr>
          <w:rFonts w:hint="eastAsia" w:ascii="宋体" w:hAnsi="宋体" w:eastAsia="宋体" w:cs="宋体"/>
        </w:rPr>
        <w:t>         供应商代表：             （签字）   </w:t>
      </w:r>
    </w:p>
    <w:p>
      <w:pPr>
        <w:pStyle w:val="5"/>
        <w:widowControl/>
        <w:spacing w:before="75" w:beforeAutospacing="0" w:after="75" w:afterAutospacing="0" w:line="375" w:lineRule="atLeast"/>
      </w:pPr>
      <w:r>
        <w:rPr>
          <w:rFonts w:hint="eastAsia" w:ascii="宋体" w:hAnsi="宋体" w:eastAsia="宋体" w:cs="宋体"/>
        </w:rPr>
        <w:t> </w:t>
      </w:r>
    </w:p>
    <w:p>
      <w:pPr>
        <w:pStyle w:val="5"/>
        <w:widowControl/>
        <w:spacing w:before="75" w:beforeAutospacing="0" w:after="75" w:afterAutospacing="0" w:line="375" w:lineRule="atLeast"/>
      </w:pPr>
      <w:r>
        <w:rPr>
          <w:rStyle w:val="8"/>
          <w:rFonts w:hint="eastAsia" w:ascii="宋体" w:hAnsi="宋体" w:eastAsia="宋体" w:cs="宋体"/>
        </w:rPr>
        <w:t> </w:t>
      </w:r>
    </w:p>
    <w:p>
      <w:pPr>
        <w:pStyle w:val="5"/>
        <w:widowControl/>
        <w:spacing w:before="75" w:beforeAutospacing="0" w:after="75" w:afterAutospacing="0" w:line="375" w:lineRule="atLeast"/>
      </w:pPr>
      <w:r>
        <w:rPr>
          <w:rFonts w:hint="eastAsia" w:ascii="宋体" w:hAnsi="宋体" w:eastAsia="宋体" w:cs="宋体"/>
        </w:rPr>
        <w:t> </w:t>
      </w:r>
    </w:p>
    <w:p>
      <w:pPr>
        <w:pStyle w:val="5"/>
        <w:widowControl/>
        <w:spacing w:before="75" w:beforeAutospacing="0" w:after="75" w:afterAutospacing="0"/>
      </w:pPr>
      <w:r>
        <w:t> </w:t>
      </w:r>
    </w:p>
    <w:p>
      <w:pPr>
        <w:pStyle w:val="5"/>
        <w:widowControl/>
        <w:spacing w:before="75" w:beforeAutospacing="0" w:after="75" w:afterAutospacing="0"/>
        <w:rPr>
          <w:rFonts w:hint="eastAsia" w:ascii="宋体" w:hAnsi="宋体" w:eastAsia="宋体" w:cs="宋体"/>
          <w:lang w:eastAsia="zh-CN"/>
        </w:rPr>
      </w:pPr>
    </w:p>
    <w:p>
      <w:pPr>
        <w:pStyle w:val="5"/>
        <w:widowControl/>
        <w:spacing w:before="75" w:beforeAutospacing="0" w:after="75" w:afterAutospacing="0"/>
        <w:rPr>
          <w:rFonts w:hint="eastAsia" w:ascii="宋体" w:hAnsi="宋体" w:eastAsia="宋体" w:cs="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95A590"/>
    <w:multiLevelType w:val="singleLevel"/>
    <w:tmpl w:val="3995A590"/>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4E1A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630</Words>
  <Characters>3595</Characters>
  <Lines>29</Lines>
  <Paragraphs>8</Paragraphs>
  <TotalTime>1</TotalTime>
  <ScaleCrop>false</ScaleCrop>
  <LinksUpToDate>false</LinksUpToDate>
  <CharactersWithSpaces>4217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2022-03-17T18:15:00Z</dcterms:created>
  <dc:creator>zwk</dc:creator>
  <cp:lastModifiedBy>zwk</cp:lastModifiedBy>
  <cp:lastPrinted>2022-03-18T01:58:00Z</cp:lastPrinted>
  <dcterms:modified xsi:type="dcterms:W3CDTF">2022-03-17T10:37:01Z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6F9C90F27B144DC08982BCD6DDC9779B</vt:lpwstr>
  </property>
</Properties>
</file>